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68" w:rsidRDefault="001F7468" w:rsidP="001F7468">
      <w:pPr>
        <w:spacing w:after="0" w:line="276" w:lineRule="auto"/>
        <w:rPr>
          <w:rFonts w:asciiTheme="minorHAnsi" w:eastAsia="Times New Roman" w:hAnsiTheme="minorHAnsi" w:cstheme="minorHAnsi"/>
          <w:bCs/>
          <w:color w:val="auto"/>
          <w:sz w:val="24"/>
          <w:szCs w:val="24"/>
        </w:rPr>
      </w:pPr>
    </w:p>
    <w:p w:rsidR="001F7468" w:rsidRDefault="001F7468" w:rsidP="001F7468">
      <w:pPr>
        <w:spacing w:after="0" w:line="276" w:lineRule="auto"/>
        <w:jc w:val="center"/>
        <w:rPr>
          <w:rFonts w:asciiTheme="minorHAnsi" w:eastAsia="Times New Roman" w:hAnsiTheme="minorHAnsi" w:cstheme="minorHAnsi"/>
          <w:bCs/>
          <w:color w:val="auto"/>
          <w:sz w:val="24"/>
          <w:szCs w:val="24"/>
        </w:rPr>
      </w:pPr>
      <w:r w:rsidRPr="00CD01CD">
        <w:rPr>
          <w:rFonts w:asciiTheme="minorHAnsi" w:eastAsia="Times New Roman" w:hAnsiTheme="minorHAnsi" w:cstheme="minorHAnsi"/>
          <w:bCs/>
          <w:color w:val="auto"/>
          <w:sz w:val="24"/>
          <w:szCs w:val="24"/>
        </w:rPr>
        <w:t>REGULAMIN REKRUTACJI</w:t>
      </w:r>
    </w:p>
    <w:p w:rsidR="001F7468" w:rsidRPr="00CD01CD" w:rsidRDefault="001F7468" w:rsidP="001F7468">
      <w:pPr>
        <w:spacing w:after="0" w:line="276" w:lineRule="auto"/>
        <w:jc w:val="center"/>
        <w:rPr>
          <w:rFonts w:asciiTheme="minorHAnsi" w:eastAsia="Times New Roman" w:hAnsiTheme="minorHAnsi" w:cstheme="minorHAnsi"/>
          <w:bCs/>
          <w:color w:val="auto"/>
          <w:sz w:val="24"/>
          <w:szCs w:val="24"/>
        </w:rPr>
      </w:pPr>
    </w:p>
    <w:p w:rsidR="001F7468" w:rsidRPr="001C0B6A" w:rsidRDefault="001F7468" w:rsidP="001F7468">
      <w:pPr>
        <w:spacing w:after="0" w:line="276" w:lineRule="auto"/>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Niniejszy regulamin określa zasady rekrutacji do projek</w:t>
      </w:r>
      <w:r>
        <w:rPr>
          <w:rFonts w:asciiTheme="minorHAnsi" w:eastAsia="Times New Roman" w:hAnsiTheme="minorHAnsi" w:cstheme="minorHAnsi"/>
          <w:color w:val="auto"/>
          <w:sz w:val="24"/>
          <w:szCs w:val="24"/>
        </w:rPr>
        <w:t xml:space="preserve">tu Erasmus+ w roku szkolnym 2025/2026     </w:t>
      </w:r>
      <w:r w:rsidRPr="00CD01CD">
        <w:rPr>
          <w:rFonts w:asciiTheme="minorHAnsi" w:eastAsia="Times New Roman" w:hAnsiTheme="minorHAnsi" w:cstheme="minorHAnsi"/>
          <w:color w:val="auto"/>
          <w:sz w:val="24"/>
          <w:szCs w:val="24"/>
        </w:rPr>
        <w:t xml:space="preserve"> </w:t>
      </w:r>
      <w:r w:rsidRPr="00CD01CD">
        <w:rPr>
          <w:rFonts w:asciiTheme="minorHAnsi" w:eastAsia="Helvetica-Bold" w:hAnsiTheme="minorHAnsi" w:cstheme="minorHAnsi"/>
          <w:bCs/>
          <w:color w:val="auto"/>
          <w:sz w:val="24"/>
          <w:szCs w:val="24"/>
          <w:lang w:val="en-US" w:eastAsia="zh-CN"/>
        </w:rPr>
        <w:t xml:space="preserve">w </w:t>
      </w:r>
      <w:proofErr w:type="spellStart"/>
      <w:r w:rsidRPr="001C0B6A">
        <w:rPr>
          <w:rFonts w:asciiTheme="minorHAnsi" w:eastAsia="Helvetica-Bold" w:hAnsiTheme="minorHAnsi" w:cstheme="minorHAnsi"/>
          <w:bCs/>
          <w:color w:val="auto"/>
          <w:sz w:val="24"/>
          <w:szCs w:val="24"/>
          <w:lang w:val="en-US" w:eastAsia="zh-CN"/>
        </w:rPr>
        <w:t>sektorze</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Edukacji</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Szkolnej</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przez</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Zespół</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Szkół</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Politechnicznych</w:t>
      </w:r>
      <w:proofErr w:type="spellEnd"/>
      <w:r w:rsidRPr="001C0B6A">
        <w:rPr>
          <w:rFonts w:asciiTheme="minorHAnsi" w:eastAsia="Helvetica-Bold" w:hAnsiTheme="minorHAnsi" w:cstheme="minorHAnsi"/>
          <w:bCs/>
          <w:color w:val="auto"/>
          <w:sz w:val="24"/>
          <w:szCs w:val="24"/>
          <w:lang w:val="en-US" w:eastAsia="zh-CN"/>
        </w:rPr>
        <w:t xml:space="preserve"> w </w:t>
      </w:r>
      <w:proofErr w:type="spellStart"/>
      <w:r w:rsidRPr="001C0B6A">
        <w:rPr>
          <w:rFonts w:asciiTheme="minorHAnsi" w:eastAsia="Helvetica-Bold" w:hAnsiTheme="minorHAnsi" w:cstheme="minorHAnsi"/>
          <w:bCs/>
          <w:color w:val="auto"/>
          <w:sz w:val="24"/>
          <w:szCs w:val="24"/>
          <w:lang w:val="en-US" w:eastAsia="zh-CN"/>
        </w:rPr>
        <w:t>Głogowie</w:t>
      </w:r>
      <w:proofErr w:type="spellEnd"/>
    </w:p>
    <w:p w:rsidR="001F7468" w:rsidRPr="001C0B6A" w:rsidRDefault="001F7468" w:rsidP="001F7468">
      <w:pPr>
        <w:spacing w:after="0" w:line="276" w:lineRule="auto"/>
        <w:jc w:val="both"/>
        <w:rPr>
          <w:rFonts w:asciiTheme="minorHAnsi" w:eastAsia="Helvetica-Bold" w:hAnsiTheme="minorHAnsi" w:cstheme="minorHAnsi"/>
          <w:bCs/>
          <w:color w:val="auto"/>
          <w:sz w:val="24"/>
          <w:szCs w:val="24"/>
          <w:lang w:val="en-US" w:eastAsia="zh-CN"/>
        </w:rPr>
      </w:pPr>
      <w:proofErr w:type="spellStart"/>
      <w:r w:rsidRPr="001C0B6A">
        <w:rPr>
          <w:rFonts w:asciiTheme="minorHAnsi" w:eastAsia="Helvetica-Bold" w:hAnsiTheme="minorHAnsi" w:cstheme="minorHAnsi"/>
          <w:bCs/>
          <w:color w:val="auto"/>
          <w:sz w:val="24"/>
          <w:szCs w:val="24"/>
          <w:lang w:val="en-US" w:eastAsia="zh-CN"/>
        </w:rPr>
        <w:t>Akredytacja</w:t>
      </w:r>
      <w:proofErr w:type="spellEnd"/>
      <w:r w:rsidRPr="001C0B6A">
        <w:rPr>
          <w:rFonts w:asciiTheme="minorHAnsi" w:eastAsia="Helvetica-Bold" w:hAnsiTheme="minorHAnsi" w:cstheme="minorHAnsi"/>
          <w:bCs/>
          <w:color w:val="auto"/>
          <w:sz w:val="24"/>
          <w:szCs w:val="24"/>
          <w:lang w:val="en-US" w:eastAsia="zh-CN"/>
        </w:rPr>
        <w:t xml:space="preserve"> </w:t>
      </w:r>
      <w:proofErr w:type="spellStart"/>
      <w:r w:rsidRPr="001C0B6A">
        <w:rPr>
          <w:rFonts w:asciiTheme="minorHAnsi" w:eastAsia="Helvetica-Bold" w:hAnsiTheme="minorHAnsi" w:cstheme="minorHAnsi"/>
          <w:bCs/>
          <w:color w:val="auto"/>
          <w:sz w:val="24"/>
          <w:szCs w:val="24"/>
          <w:lang w:val="en-US" w:eastAsia="zh-CN"/>
        </w:rPr>
        <w:t>nr</w:t>
      </w:r>
      <w:proofErr w:type="spellEnd"/>
      <w:r w:rsidRPr="001C0B6A">
        <w:rPr>
          <w:rFonts w:asciiTheme="minorHAnsi" w:eastAsia="Helvetica-Bold" w:hAnsiTheme="minorHAnsi" w:cstheme="minorHAnsi"/>
          <w:bCs/>
          <w:color w:val="auto"/>
          <w:sz w:val="24"/>
          <w:szCs w:val="24"/>
          <w:lang w:val="en-US" w:eastAsia="zh-CN"/>
        </w:rPr>
        <w:t>: 2022-1-PL01-KA120-SCH-000110300</w:t>
      </w:r>
    </w:p>
    <w:p w:rsidR="001F7468" w:rsidRPr="001C0B6A" w:rsidRDefault="00751A45" w:rsidP="001F7468">
      <w:pPr>
        <w:spacing w:after="0" w:line="276" w:lineRule="auto"/>
        <w:jc w:val="both"/>
        <w:rPr>
          <w:rFonts w:asciiTheme="minorHAnsi" w:eastAsia="Helvetica-Bold" w:hAnsiTheme="minorHAnsi" w:cstheme="minorHAnsi"/>
          <w:bCs/>
          <w:color w:val="auto"/>
          <w:sz w:val="24"/>
          <w:szCs w:val="24"/>
          <w:lang w:val="en-US" w:eastAsia="zh-CN"/>
        </w:rPr>
      </w:pPr>
      <w:r w:rsidRPr="00751A45">
        <w:rPr>
          <w:iCs/>
          <w:color w:val="auto"/>
          <w:sz w:val="24"/>
          <w:szCs w:val="24"/>
        </w:rPr>
        <w:t>Numer projektu: 2025-1-PL01-KA121-SCH-000308902</w:t>
      </w:r>
    </w:p>
    <w:p w:rsidR="001F7468" w:rsidRDefault="001F7468" w:rsidP="001F7468">
      <w:pPr>
        <w:spacing w:after="0" w:line="276" w:lineRule="auto"/>
        <w:jc w:val="center"/>
        <w:rPr>
          <w:rFonts w:asciiTheme="minorHAnsi" w:eastAsia="Times New Roman" w:hAnsiTheme="minorHAnsi" w:cstheme="minorHAnsi"/>
          <w:color w:val="auto"/>
          <w:sz w:val="24"/>
          <w:szCs w:val="24"/>
        </w:rPr>
      </w:pPr>
    </w:p>
    <w:p w:rsidR="001F7468" w:rsidRDefault="001F7468" w:rsidP="001F7468">
      <w:pPr>
        <w:spacing w:after="0" w:line="276" w:lineRule="auto"/>
        <w:jc w:val="center"/>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&amp; 1</w:t>
      </w:r>
    </w:p>
    <w:p w:rsidR="001F7468" w:rsidRDefault="001F7468" w:rsidP="001F7468">
      <w:pPr>
        <w:spacing w:after="0" w:line="276" w:lineRule="auto"/>
        <w:jc w:val="center"/>
        <w:rPr>
          <w:rFonts w:asciiTheme="minorHAnsi" w:eastAsia="Times New Roman" w:hAnsiTheme="minorHAnsi" w:cstheme="minorHAnsi"/>
          <w:bCs/>
          <w:color w:val="auto"/>
          <w:sz w:val="24"/>
          <w:szCs w:val="24"/>
        </w:rPr>
      </w:pPr>
      <w:r w:rsidRPr="00CD01CD">
        <w:rPr>
          <w:rFonts w:asciiTheme="minorHAnsi" w:eastAsia="Times New Roman" w:hAnsiTheme="minorHAnsi" w:cstheme="minorHAnsi"/>
          <w:bCs/>
          <w:color w:val="auto"/>
          <w:sz w:val="24"/>
          <w:szCs w:val="24"/>
        </w:rPr>
        <w:t>Informacje o projekcie</w:t>
      </w:r>
    </w:p>
    <w:p w:rsidR="001F7468" w:rsidRPr="006E609F" w:rsidRDefault="001F7468" w:rsidP="001F7468">
      <w:pPr>
        <w:spacing w:after="0" w:line="276" w:lineRule="auto"/>
        <w:jc w:val="both"/>
        <w:rPr>
          <w:rFonts w:asciiTheme="minorHAnsi" w:eastAsia="Times New Roman" w:hAnsiTheme="minorHAnsi" w:cstheme="minorHAnsi"/>
          <w:bCs/>
          <w:color w:val="auto"/>
          <w:sz w:val="24"/>
          <w:szCs w:val="24"/>
        </w:rPr>
      </w:pPr>
    </w:p>
    <w:p w:rsidR="001F7468" w:rsidRPr="006E609F" w:rsidRDefault="001F7468" w:rsidP="001F7468">
      <w:pPr>
        <w:pStyle w:val="Akapitzlist"/>
        <w:numPr>
          <w:ilvl w:val="0"/>
          <w:numId w:val="1"/>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 xml:space="preserve">Projekt realizowany jest w Zespole Szkół </w:t>
      </w:r>
      <w:proofErr w:type="spellStart"/>
      <w:r w:rsidRPr="006E609F">
        <w:rPr>
          <w:rFonts w:asciiTheme="minorHAnsi" w:eastAsia="Helvetica-Bold" w:hAnsiTheme="minorHAnsi" w:cstheme="minorHAnsi"/>
          <w:bCs/>
          <w:color w:val="auto"/>
          <w:sz w:val="24"/>
          <w:szCs w:val="24"/>
          <w:lang w:val="en-US" w:eastAsia="zh-CN"/>
        </w:rPr>
        <w:t>Politechnicznych</w:t>
      </w:r>
      <w:proofErr w:type="spellEnd"/>
      <w:r w:rsidRPr="006E609F">
        <w:rPr>
          <w:rFonts w:asciiTheme="minorHAnsi" w:eastAsia="Times New Roman" w:hAnsiTheme="minorHAnsi" w:cstheme="minorHAnsi"/>
          <w:color w:val="auto"/>
          <w:sz w:val="24"/>
          <w:szCs w:val="24"/>
        </w:rPr>
        <w:t xml:space="preserve"> w Głogowie w okresie </w:t>
      </w:r>
      <w:r w:rsidR="00895EB0">
        <w:rPr>
          <w:rFonts w:asciiTheme="minorHAnsi" w:eastAsia="Times New Roman" w:hAnsiTheme="minorHAnsi" w:cstheme="minorHAnsi"/>
          <w:color w:val="auto"/>
          <w:sz w:val="24"/>
          <w:szCs w:val="24"/>
        </w:rPr>
        <w:t>22</w:t>
      </w:r>
      <w:r>
        <w:rPr>
          <w:rFonts w:asciiTheme="minorHAnsi" w:eastAsia="Times New Roman" w:hAnsiTheme="minorHAnsi" w:cstheme="minorHAnsi"/>
          <w:color w:val="auto"/>
          <w:sz w:val="24"/>
          <w:szCs w:val="24"/>
        </w:rPr>
        <w:t>.0</w:t>
      </w:r>
      <w:r w:rsidR="00895EB0">
        <w:rPr>
          <w:rFonts w:asciiTheme="minorHAnsi" w:eastAsia="Times New Roman" w:hAnsiTheme="minorHAnsi" w:cstheme="minorHAnsi"/>
          <w:color w:val="auto"/>
          <w:sz w:val="24"/>
          <w:szCs w:val="24"/>
        </w:rPr>
        <w:t>3</w:t>
      </w:r>
      <w:r>
        <w:rPr>
          <w:rFonts w:asciiTheme="minorHAnsi" w:eastAsia="Times New Roman" w:hAnsiTheme="minorHAnsi" w:cstheme="minorHAnsi"/>
          <w:color w:val="auto"/>
          <w:sz w:val="24"/>
          <w:szCs w:val="24"/>
        </w:rPr>
        <w:t>.202</w:t>
      </w:r>
      <w:r w:rsidR="00895EB0">
        <w:rPr>
          <w:rFonts w:asciiTheme="minorHAnsi" w:eastAsia="Times New Roman" w:hAnsiTheme="minorHAnsi" w:cstheme="minorHAnsi"/>
          <w:color w:val="auto"/>
          <w:sz w:val="24"/>
          <w:szCs w:val="24"/>
        </w:rPr>
        <w:t>6 – 04.04.2026</w:t>
      </w:r>
      <w:r>
        <w:rPr>
          <w:rFonts w:asciiTheme="minorHAnsi" w:eastAsia="Times New Roman" w:hAnsiTheme="minorHAnsi" w:cstheme="minorHAnsi"/>
          <w:color w:val="auto"/>
          <w:sz w:val="24"/>
          <w:szCs w:val="24"/>
        </w:rPr>
        <w:t>.</w:t>
      </w:r>
    </w:p>
    <w:p w:rsidR="001F7468" w:rsidRPr="006E609F" w:rsidRDefault="001F7468" w:rsidP="001F7468">
      <w:pPr>
        <w:pStyle w:val="Akapitzlist"/>
        <w:numPr>
          <w:ilvl w:val="0"/>
          <w:numId w:val="1"/>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Projekt jest finansowany przez Unię Europejską w ramach Akcji 1 mobilność edukacyjna</w:t>
      </w:r>
      <w:r>
        <w:rPr>
          <w:rFonts w:asciiTheme="minorHAnsi" w:eastAsia="Times New Roman" w:hAnsiTheme="minorHAnsi" w:cstheme="minorHAnsi"/>
          <w:color w:val="auto"/>
          <w:sz w:val="24"/>
          <w:szCs w:val="24"/>
        </w:rPr>
        <w:t>.</w:t>
      </w:r>
    </w:p>
    <w:p w:rsidR="001F7468" w:rsidRPr="006E609F" w:rsidRDefault="001F7468" w:rsidP="001F7468">
      <w:pPr>
        <w:pStyle w:val="Akapitzlist"/>
        <w:numPr>
          <w:ilvl w:val="0"/>
          <w:numId w:val="1"/>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Projekt skierowany jest do uc</w:t>
      </w:r>
      <w:r>
        <w:rPr>
          <w:rFonts w:asciiTheme="minorHAnsi" w:eastAsia="Times New Roman" w:hAnsiTheme="minorHAnsi" w:cstheme="minorHAnsi"/>
          <w:color w:val="auto"/>
          <w:sz w:val="24"/>
          <w:szCs w:val="24"/>
        </w:rPr>
        <w:t>zniów klas drugiej, trzeciej i</w:t>
      </w:r>
      <w:r w:rsidRPr="006E609F">
        <w:rPr>
          <w:rFonts w:asciiTheme="minorHAnsi" w:eastAsia="Times New Roman" w:hAnsiTheme="minorHAnsi" w:cstheme="minorHAnsi"/>
          <w:color w:val="auto"/>
          <w:sz w:val="24"/>
          <w:szCs w:val="24"/>
        </w:rPr>
        <w:t xml:space="preserve"> czwartej  Technik</w:t>
      </w:r>
      <w:r w:rsidR="00895EB0">
        <w:rPr>
          <w:rFonts w:asciiTheme="minorHAnsi" w:eastAsia="Times New Roman" w:hAnsiTheme="minorHAnsi" w:cstheme="minorHAnsi"/>
          <w:color w:val="auto"/>
          <w:sz w:val="24"/>
          <w:szCs w:val="24"/>
        </w:rPr>
        <w:t xml:space="preserve">um nr 3, </w:t>
      </w:r>
      <w:r w:rsidRPr="006E609F">
        <w:rPr>
          <w:rFonts w:asciiTheme="minorHAnsi" w:eastAsia="Times New Roman" w:hAnsiTheme="minorHAnsi" w:cstheme="minorHAnsi"/>
          <w:color w:val="auto"/>
          <w:sz w:val="24"/>
          <w:szCs w:val="24"/>
        </w:rPr>
        <w:t xml:space="preserve"> Zespołu Szkół Politechnicznych.</w:t>
      </w:r>
    </w:p>
    <w:p w:rsidR="001F7468" w:rsidRPr="006E609F" w:rsidRDefault="001F7468" w:rsidP="001F7468">
      <w:pPr>
        <w:pStyle w:val="Akapitzlist"/>
        <w:numPr>
          <w:ilvl w:val="0"/>
          <w:numId w:val="1"/>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W mobilności na rok 202</w:t>
      </w:r>
      <w:r>
        <w:rPr>
          <w:rFonts w:asciiTheme="minorHAnsi" w:eastAsia="Times New Roman" w:hAnsiTheme="minorHAnsi" w:cstheme="minorHAnsi"/>
          <w:color w:val="auto"/>
          <w:sz w:val="24"/>
          <w:szCs w:val="24"/>
        </w:rPr>
        <w:t>5</w:t>
      </w:r>
      <w:r w:rsidRPr="006E609F">
        <w:rPr>
          <w:rFonts w:asciiTheme="minorHAnsi" w:eastAsia="Times New Roman" w:hAnsiTheme="minorHAnsi" w:cstheme="minorHAnsi"/>
          <w:color w:val="auto"/>
          <w:sz w:val="24"/>
          <w:szCs w:val="24"/>
        </w:rPr>
        <w:t>/202</w:t>
      </w:r>
      <w:r>
        <w:rPr>
          <w:rFonts w:asciiTheme="minorHAnsi" w:eastAsia="Times New Roman" w:hAnsiTheme="minorHAnsi" w:cstheme="minorHAnsi"/>
          <w:color w:val="auto"/>
          <w:sz w:val="24"/>
          <w:szCs w:val="24"/>
        </w:rPr>
        <w:t>6</w:t>
      </w:r>
      <w:r w:rsidRPr="006E609F">
        <w:rPr>
          <w:rFonts w:asciiTheme="minorHAnsi" w:eastAsia="Times New Roman" w:hAnsiTheme="minorHAnsi" w:cstheme="minorHAnsi"/>
          <w:color w:val="auto"/>
          <w:sz w:val="24"/>
          <w:szCs w:val="24"/>
        </w:rPr>
        <w:t xml:space="preserve">  może wziąć udział grupa maksymalnie 2</w:t>
      </w:r>
      <w:r>
        <w:rPr>
          <w:rFonts w:asciiTheme="minorHAnsi" w:eastAsia="Times New Roman" w:hAnsiTheme="minorHAnsi" w:cstheme="minorHAnsi"/>
          <w:color w:val="auto"/>
          <w:sz w:val="24"/>
          <w:szCs w:val="24"/>
        </w:rPr>
        <w:t>4</w:t>
      </w:r>
      <w:r w:rsidRPr="006E609F">
        <w:rPr>
          <w:rFonts w:asciiTheme="minorHAnsi" w:eastAsia="Times New Roman" w:hAnsiTheme="minorHAnsi" w:cstheme="minorHAnsi"/>
          <w:color w:val="auto"/>
          <w:sz w:val="24"/>
          <w:szCs w:val="24"/>
        </w:rPr>
        <w:t xml:space="preserve"> uczniów.</w:t>
      </w:r>
    </w:p>
    <w:p w:rsidR="001F7468" w:rsidRDefault="001F7468" w:rsidP="001F7468">
      <w:pPr>
        <w:spacing w:after="0" w:line="276" w:lineRule="auto"/>
        <w:jc w:val="center"/>
        <w:rPr>
          <w:rFonts w:asciiTheme="minorHAnsi" w:eastAsia="Times New Roman" w:hAnsiTheme="minorHAnsi" w:cstheme="minorHAnsi"/>
          <w:color w:val="auto"/>
          <w:sz w:val="24"/>
          <w:szCs w:val="24"/>
        </w:rPr>
      </w:pPr>
    </w:p>
    <w:p w:rsidR="001F7468" w:rsidRPr="00CD01CD" w:rsidRDefault="001F7468" w:rsidP="001F7468">
      <w:pPr>
        <w:spacing w:after="0" w:line="276" w:lineRule="auto"/>
        <w:jc w:val="center"/>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&amp; 2</w:t>
      </w:r>
    </w:p>
    <w:p w:rsidR="001F7468" w:rsidRDefault="001F7468" w:rsidP="001F7468">
      <w:pPr>
        <w:spacing w:after="0" w:line="276" w:lineRule="auto"/>
        <w:jc w:val="center"/>
        <w:rPr>
          <w:rFonts w:asciiTheme="minorHAnsi" w:eastAsia="Times New Roman" w:hAnsiTheme="minorHAnsi" w:cstheme="minorHAnsi"/>
          <w:bCs/>
          <w:color w:val="auto"/>
          <w:sz w:val="24"/>
          <w:szCs w:val="24"/>
        </w:rPr>
      </w:pPr>
      <w:r w:rsidRPr="00CD01CD">
        <w:rPr>
          <w:rFonts w:asciiTheme="minorHAnsi" w:eastAsia="Times New Roman" w:hAnsiTheme="minorHAnsi" w:cstheme="minorHAnsi"/>
          <w:bCs/>
          <w:color w:val="auto"/>
          <w:sz w:val="24"/>
          <w:szCs w:val="24"/>
        </w:rPr>
        <w:t>Zasady rekrutacji uczestników projektu</w:t>
      </w:r>
    </w:p>
    <w:p w:rsidR="001F7468" w:rsidRPr="00CD01CD" w:rsidRDefault="001F7468" w:rsidP="001F7468">
      <w:pPr>
        <w:spacing w:after="0" w:line="276" w:lineRule="auto"/>
        <w:jc w:val="both"/>
        <w:rPr>
          <w:rFonts w:asciiTheme="minorHAnsi" w:eastAsia="Times New Roman" w:hAnsiTheme="minorHAnsi" w:cstheme="minorHAnsi"/>
          <w:bCs/>
          <w:color w:val="auto"/>
          <w:sz w:val="24"/>
          <w:szCs w:val="24"/>
        </w:rPr>
      </w:pPr>
    </w:p>
    <w:p w:rsidR="001F7468" w:rsidRPr="006E609F"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 xml:space="preserve">Rekrutacja prowadzona będzie przez Zespół Rekrutacyjny w Zespole Szkół </w:t>
      </w:r>
      <w:proofErr w:type="spellStart"/>
      <w:r w:rsidRPr="006E609F">
        <w:rPr>
          <w:rFonts w:asciiTheme="minorHAnsi" w:eastAsia="Helvetica-Bold" w:hAnsiTheme="minorHAnsi" w:cstheme="minorHAnsi"/>
          <w:bCs/>
          <w:color w:val="auto"/>
          <w:sz w:val="24"/>
          <w:szCs w:val="24"/>
          <w:lang w:val="en-US" w:eastAsia="zh-CN"/>
        </w:rPr>
        <w:t>Politechnicznych</w:t>
      </w:r>
      <w:proofErr w:type="spellEnd"/>
      <w:r w:rsidRPr="006E609F">
        <w:rPr>
          <w:rFonts w:asciiTheme="minorHAnsi" w:eastAsia="Times New Roman" w:hAnsiTheme="minorHAnsi" w:cstheme="minorHAnsi"/>
          <w:color w:val="auto"/>
          <w:sz w:val="24"/>
          <w:szCs w:val="24"/>
        </w:rPr>
        <w:t xml:space="preserve"> </w:t>
      </w:r>
      <w:r w:rsidRPr="006E609F">
        <w:rPr>
          <w:rFonts w:asciiTheme="minorHAnsi" w:eastAsia="Times New Roman" w:hAnsiTheme="minorHAnsi" w:cstheme="minorHAnsi"/>
          <w:color w:val="auto"/>
          <w:sz w:val="24"/>
          <w:szCs w:val="24"/>
        </w:rPr>
        <w:br/>
        <w:t>w Głogowie.</w:t>
      </w:r>
    </w:p>
    <w:p w:rsidR="001F7468" w:rsidRPr="006E609F"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6E609F">
        <w:rPr>
          <w:rFonts w:asciiTheme="minorHAnsi" w:eastAsia="Times New Roman" w:hAnsiTheme="minorHAnsi" w:cstheme="minorHAnsi"/>
          <w:color w:val="auto"/>
          <w:sz w:val="24"/>
          <w:szCs w:val="24"/>
        </w:rPr>
        <w:t>W skład Zespołu Rekrutacyjnego  wchodzą:</w:t>
      </w:r>
    </w:p>
    <w:p w:rsidR="001F7468" w:rsidRPr="006E609F" w:rsidRDefault="001F7468" w:rsidP="001F7468">
      <w:pPr>
        <w:pStyle w:val="Akapitzlist"/>
        <w:numPr>
          <w:ilvl w:val="0"/>
          <w:numId w:val="3"/>
        </w:numPr>
        <w:spacing w:after="0" w:line="276" w:lineRule="auto"/>
        <w:ind w:left="1418" w:hanging="425"/>
        <w:jc w:val="both"/>
        <w:rPr>
          <w:rFonts w:asciiTheme="minorHAnsi" w:hAnsiTheme="minorHAnsi" w:cstheme="minorHAnsi"/>
          <w:color w:val="auto"/>
          <w:sz w:val="24"/>
          <w:szCs w:val="24"/>
        </w:rPr>
      </w:pPr>
      <w:r w:rsidRPr="006E609F">
        <w:rPr>
          <w:rFonts w:asciiTheme="minorHAnsi" w:eastAsia="Times New Roman" w:hAnsiTheme="minorHAnsi" w:cstheme="minorHAnsi"/>
          <w:color w:val="auto"/>
          <w:sz w:val="24"/>
          <w:szCs w:val="24"/>
        </w:rPr>
        <w:t xml:space="preserve">zastępca koordynatora projektów unijnych w ZSP – p. Małgorzata </w:t>
      </w:r>
      <w:proofErr w:type="spellStart"/>
      <w:r w:rsidRPr="006E609F">
        <w:rPr>
          <w:rFonts w:asciiTheme="minorHAnsi" w:eastAsia="Times New Roman" w:hAnsiTheme="minorHAnsi" w:cstheme="minorHAnsi"/>
          <w:color w:val="auto"/>
          <w:sz w:val="24"/>
          <w:szCs w:val="24"/>
        </w:rPr>
        <w:t>Przyszlakowska</w:t>
      </w:r>
      <w:proofErr w:type="spellEnd"/>
    </w:p>
    <w:p w:rsidR="001F7468" w:rsidRPr="006E609F" w:rsidRDefault="001F7468" w:rsidP="001F7468">
      <w:pPr>
        <w:pStyle w:val="Akapitzlist"/>
        <w:numPr>
          <w:ilvl w:val="0"/>
          <w:numId w:val="3"/>
        </w:numPr>
        <w:spacing w:after="0" w:line="276" w:lineRule="auto"/>
        <w:ind w:left="1418" w:hanging="425"/>
        <w:jc w:val="both"/>
        <w:rPr>
          <w:rFonts w:asciiTheme="minorHAnsi" w:eastAsia="Calibri" w:hAnsiTheme="minorHAnsi" w:cstheme="minorHAnsi"/>
          <w:color w:val="auto"/>
          <w:sz w:val="24"/>
          <w:szCs w:val="24"/>
        </w:rPr>
      </w:pPr>
      <w:r w:rsidRPr="006E609F">
        <w:rPr>
          <w:rFonts w:asciiTheme="minorHAnsi" w:eastAsia="Times New Roman" w:hAnsiTheme="minorHAnsi" w:cstheme="minorHAnsi"/>
          <w:color w:val="auto"/>
          <w:sz w:val="24"/>
          <w:szCs w:val="24"/>
        </w:rPr>
        <w:t xml:space="preserve">nauczyciel języka polskiego – p.  Hanna </w:t>
      </w:r>
      <w:proofErr w:type="spellStart"/>
      <w:r w:rsidRPr="006E609F">
        <w:rPr>
          <w:rFonts w:asciiTheme="minorHAnsi" w:eastAsia="Times New Roman" w:hAnsiTheme="minorHAnsi" w:cstheme="minorHAnsi"/>
          <w:color w:val="auto"/>
          <w:sz w:val="24"/>
          <w:szCs w:val="24"/>
        </w:rPr>
        <w:t>Miroś</w:t>
      </w:r>
      <w:proofErr w:type="spellEnd"/>
    </w:p>
    <w:p w:rsidR="001F7468" w:rsidRPr="006E609F" w:rsidRDefault="001F7468" w:rsidP="001F7468">
      <w:pPr>
        <w:spacing w:after="0" w:line="276" w:lineRule="auto"/>
        <w:ind w:left="993"/>
        <w:jc w:val="both"/>
        <w:rPr>
          <w:rFonts w:asciiTheme="minorHAnsi" w:eastAsia="Calibri" w:hAnsiTheme="minorHAnsi" w:cstheme="minorHAnsi"/>
          <w:color w:val="auto"/>
          <w:sz w:val="24"/>
          <w:szCs w:val="24"/>
        </w:rPr>
      </w:pPr>
      <w:r w:rsidRPr="006E609F">
        <w:rPr>
          <w:rFonts w:asciiTheme="minorHAnsi" w:eastAsia="Calibri" w:hAnsiTheme="minorHAnsi" w:cstheme="minorHAnsi"/>
          <w:color w:val="auto"/>
          <w:sz w:val="24"/>
          <w:szCs w:val="24"/>
        </w:rPr>
        <w:t>-</w:t>
      </w:r>
      <w:r>
        <w:rPr>
          <w:rFonts w:asciiTheme="minorHAnsi" w:eastAsia="Calibri" w:hAnsiTheme="minorHAnsi" w:cstheme="minorHAnsi"/>
          <w:color w:val="auto"/>
          <w:sz w:val="24"/>
          <w:szCs w:val="24"/>
        </w:rPr>
        <w:t xml:space="preserve">   </w:t>
      </w:r>
      <w:r w:rsidRPr="006E609F">
        <w:rPr>
          <w:rFonts w:asciiTheme="minorHAnsi" w:eastAsia="Calibri" w:hAnsiTheme="minorHAnsi" w:cstheme="minorHAnsi"/>
          <w:color w:val="auto"/>
          <w:sz w:val="24"/>
          <w:szCs w:val="24"/>
        </w:rPr>
        <w:t xml:space="preserve">   wicedyrektor ds. wychowawczych – p. Monika Kukulska</w:t>
      </w:r>
    </w:p>
    <w:p w:rsidR="001F7468" w:rsidRPr="006E609F" w:rsidRDefault="001F7468" w:rsidP="001F7468">
      <w:pPr>
        <w:pStyle w:val="Akapitzlist"/>
        <w:numPr>
          <w:ilvl w:val="0"/>
          <w:numId w:val="2"/>
        </w:numPr>
        <w:spacing w:after="0" w:line="276" w:lineRule="auto"/>
        <w:ind w:left="993" w:hanging="567"/>
        <w:jc w:val="both"/>
        <w:rPr>
          <w:rFonts w:asciiTheme="minorHAnsi" w:hAnsiTheme="minorHAnsi" w:cstheme="minorHAnsi"/>
          <w:color w:val="auto"/>
          <w:sz w:val="24"/>
          <w:szCs w:val="24"/>
        </w:rPr>
      </w:pPr>
      <w:r w:rsidRPr="006E609F">
        <w:rPr>
          <w:rFonts w:asciiTheme="minorHAnsi" w:eastAsia="Times New Roman" w:hAnsiTheme="minorHAnsi" w:cstheme="minorHAnsi"/>
          <w:color w:val="auto"/>
          <w:sz w:val="24"/>
          <w:szCs w:val="24"/>
        </w:rPr>
        <w:t xml:space="preserve">Proces rekrutacji poprzedzony będzie informacją na stronie internetowej szkoły. </w:t>
      </w:r>
    </w:p>
    <w:p w:rsidR="001F7468" w:rsidRPr="006E609F" w:rsidRDefault="001F7468" w:rsidP="001F7468">
      <w:pPr>
        <w:pStyle w:val="Akapitzlist"/>
        <w:numPr>
          <w:ilvl w:val="0"/>
          <w:numId w:val="2"/>
        </w:numPr>
        <w:spacing w:after="0" w:line="276" w:lineRule="auto"/>
        <w:ind w:left="993" w:hanging="567"/>
        <w:jc w:val="both"/>
        <w:rPr>
          <w:rFonts w:asciiTheme="minorHAnsi" w:hAnsiTheme="minorHAnsi" w:cstheme="minorHAnsi"/>
          <w:color w:val="auto"/>
          <w:sz w:val="24"/>
          <w:szCs w:val="24"/>
        </w:rPr>
      </w:pPr>
      <w:r w:rsidRPr="006E609F">
        <w:rPr>
          <w:rFonts w:asciiTheme="minorHAnsi" w:eastAsia="Times New Roman" w:hAnsiTheme="minorHAnsi" w:cstheme="minorHAnsi"/>
          <w:color w:val="auto"/>
          <w:sz w:val="24"/>
          <w:szCs w:val="24"/>
        </w:rPr>
        <w:t>Uczestnikiem projektu może być osoba, która z własnej inicjatywy wyraża chęć uczestnictwa w projekcie, jest  uczniem Technikum nr 3,  stopnia Zespołu Szkół Politechnicznych.</w:t>
      </w:r>
    </w:p>
    <w:p w:rsidR="001F7468" w:rsidRPr="006E609F" w:rsidRDefault="001F7468" w:rsidP="001F7468">
      <w:pPr>
        <w:pStyle w:val="Akapitzlist"/>
        <w:numPr>
          <w:ilvl w:val="0"/>
          <w:numId w:val="2"/>
        </w:numPr>
        <w:spacing w:after="0" w:line="276" w:lineRule="auto"/>
        <w:ind w:left="993" w:hanging="567"/>
        <w:jc w:val="both"/>
        <w:rPr>
          <w:rFonts w:asciiTheme="minorHAnsi" w:hAnsiTheme="minorHAnsi" w:cstheme="minorHAnsi"/>
          <w:color w:val="auto"/>
          <w:sz w:val="24"/>
          <w:szCs w:val="24"/>
        </w:rPr>
      </w:pPr>
      <w:r w:rsidRPr="006E609F">
        <w:rPr>
          <w:rFonts w:asciiTheme="minorHAnsi" w:eastAsia="Times New Roman" w:hAnsiTheme="minorHAnsi" w:cstheme="minorHAnsi"/>
          <w:color w:val="auto"/>
          <w:sz w:val="24"/>
          <w:szCs w:val="24"/>
        </w:rPr>
        <w:t xml:space="preserve">Proces rekrutacji obejmuje: </w:t>
      </w:r>
    </w:p>
    <w:p w:rsidR="001F7468" w:rsidRPr="00CD01CD" w:rsidRDefault="001F7468" w:rsidP="001F7468">
      <w:pPr>
        <w:pStyle w:val="Akapitzlist"/>
        <w:numPr>
          <w:ilvl w:val="0"/>
          <w:numId w:val="4"/>
        </w:numPr>
        <w:spacing w:after="0" w:line="276" w:lineRule="auto"/>
        <w:ind w:hanging="447"/>
        <w:jc w:val="both"/>
        <w:rPr>
          <w:rFonts w:asciiTheme="minorHAnsi" w:eastAsia="Calibri" w:hAnsiTheme="minorHAnsi" w:cstheme="minorHAnsi"/>
          <w:color w:val="auto"/>
          <w:sz w:val="24"/>
          <w:szCs w:val="24"/>
        </w:rPr>
      </w:pPr>
      <w:r w:rsidRPr="00CD01CD">
        <w:rPr>
          <w:rFonts w:asciiTheme="minorHAnsi" w:eastAsia="Times New Roman" w:hAnsiTheme="minorHAnsi" w:cstheme="minorHAnsi"/>
          <w:color w:val="auto"/>
          <w:sz w:val="24"/>
          <w:szCs w:val="24"/>
        </w:rPr>
        <w:t>złożenie formularza aplikacyjnego o zakwalifikowanie do udziału w projekcie,</w:t>
      </w:r>
    </w:p>
    <w:p w:rsidR="001F7468" w:rsidRPr="006E00A9" w:rsidRDefault="001F7468" w:rsidP="001F7468">
      <w:pPr>
        <w:pStyle w:val="Akapitzlist"/>
        <w:numPr>
          <w:ilvl w:val="0"/>
          <w:numId w:val="4"/>
        </w:numPr>
        <w:spacing w:after="0" w:line="276" w:lineRule="auto"/>
        <w:ind w:hanging="447"/>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akceptację wniosku przez Zespół Rekrutacyjny,</w:t>
      </w:r>
    </w:p>
    <w:p w:rsidR="001F7468" w:rsidRPr="00CD01CD" w:rsidRDefault="001F7468" w:rsidP="001F7468">
      <w:pPr>
        <w:pStyle w:val="Akapitzlist"/>
        <w:numPr>
          <w:ilvl w:val="0"/>
          <w:numId w:val="4"/>
        </w:numPr>
        <w:spacing w:after="0" w:line="276" w:lineRule="auto"/>
        <w:ind w:hanging="447"/>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zgodę na przetwarzanie danych osobowych na potrzeby projektu.</w:t>
      </w:r>
    </w:p>
    <w:p w:rsidR="001F7468" w:rsidRPr="00CD01CD" w:rsidRDefault="001F7468" w:rsidP="001F7468">
      <w:pPr>
        <w:pStyle w:val="Akapitzlist"/>
        <w:numPr>
          <w:ilvl w:val="0"/>
          <w:numId w:val="2"/>
        </w:numPr>
        <w:spacing w:after="0" w:line="276" w:lineRule="auto"/>
        <w:ind w:left="993" w:hanging="567"/>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 xml:space="preserve">Uczeń ubiegający się o udział w projekcie w wyznaczonym terminie powinien złożyć w formie papierowej do </w:t>
      </w:r>
      <w:r>
        <w:rPr>
          <w:rFonts w:asciiTheme="minorHAnsi" w:eastAsia="Times New Roman" w:hAnsiTheme="minorHAnsi" w:cstheme="minorHAnsi"/>
          <w:color w:val="auto"/>
          <w:sz w:val="24"/>
          <w:szCs w:val="24"/>
        </w:rPr>
        <w:t>biblioteki</w:t>
      </w:r>
      <w:r w:rsidRPr="00CD01CD">
        <w:rPr>
          <w:rFonts w:asciiTheme="minorHAnsi" w:eastAsia="Times New Roman" w:hAnsiTheme="minorHAnsi" w:cstheme="minorHAnsi"/>
          <w:color w:val="auto"/>
          <w:sz w:val="24"/>
          <w:szCs w:val="24"/>
        </w:rPr>
        <w:t xml:space="preserve"> do </w:t>
      </w:r>
      <w:r>
        <w:rPr>
          <w:rFonts w:asciiTheme="minorHAnsi" w:eastAsia="Times New Roman" w:hAnsiTheme="minorHAnsi" w:cstheme="minorHAnsi"/>
          <w:color w:val="auto"/>
          <w:sz w:val="24"/>
          <w:szCs w:val="24"/>
        </w:rPr>
        <w:t xml:space="preserve">p. Małgorzaty </w:t>
      </w:r>
      <w:proofErr w:type="spellStart"/>
      <w:r>
        <w:rPr>
          <w:rFonts w:asciiTheme="minorHAnsi" w:eastAsia="Times New Roman" w:hAnsiTheme="minorHAnsi" w:cstheme="minorHAnsi"/>
          <w:color w:val="auto"/>
          <w:sz w:val="24"/>
          <w:szCs w:val="24"/>
        </w:rPr>
        <w:t>Przyszlakowskiej</w:t>
      </w:r>
      <w:proofErr w:type="spellEnd"/>
      <w:r w:rsidRPr="00CD01CD">
        <w:rPr>
          <w:rFonts w:asciiTheme="minorHAnsi" w:eastAsia="Times New Roman" w:hAnsiTheme="minorHAnsi" w:cstheme="minorHAnsi"/>
          <w:color w:val="auto"/>
          <w:sz w:val="24"/>
          <w:szCs w:val="24"/>
        </w:rPr>
        <w:t xml:space="preserve"> następujące dokumenty: </w:t>
      </w:r>
    </w:p>
    <w:p w:rsidR="001F7468" w:rsidRPr="00CD01CD" w:rsidRDefault="001F7468" w:rsidP="001F7468">
      <w:pPr>
        <w:pStyle w:val="Akapitzlist"/>
        <w:numPr>
          <w:ilvl w:val="0"/>
          <w:numId w:val="5"/>
        </w:numPr>
        <w:spacing w:after="0" w:line="276" w:lineRule="auto"/>
        <w:ind w:left="1418" w:hanging="425"/>
        <w:jc w:val="both"/>
        <w:rPr>
          <w:rFonts w:asciiTheme="minorHAnsi" w:eastAsia="Calibri" w:hAnsiTheme="minorHAnsi" w:cstheme="minorHAnsi"/>
          <w:color w:val="auto"/>
          <w:sz w:val="24"/>
          <w:szCs w:val="24"/>
        </w:rPr>
      </w:pPr>
      <w:r w:rsidRPr="00CD01CD">
        <w:rPr>
          <w:rFonts w:asciiTheme="minorHAnsi" w:eastAsia="Times New Roman" w:hAnsiTheme="minorHAnsi" w:cstheme="minorHAnsi"/>
          <w:color w:val="auto"/>
          <w:sz w:val="24"/>
          <w:szCs w:val="24"/>
        </w:rPr>
        <w:lastRenderedPageBreak/>
        <w:t>formularz aplikacyjny,</w:t>
      </w:r>
    </w:p>
    <w:p w:rsidR="001F7468" w:rsidRPr="00CD01CD" w:rsidRDefault="001F7468" w:rsidP="001F7468">
      <w:pPr>
        <w:pStyle w:val="Akapitzlist"/>
        <w:numPr>
          <w:ilvl w:val="0"/>
          <w:numId w:val="5"/>
        </w:numPr>
        <w:spacing w:after="0" w:line="276" w:lineRule="auto"/>
        <w:ind w:left="1418" w:hanging="425"/>
        <w:jc w:val="both"/>
        <w:rPr>
          <w:rFonts w:asciiTheme="minorHAnsi" w:eastAsia="Calibri" w:hAnsiTheme="minorHAnsi" w:cstheme="minorHAnsi"/>
          <w:color w:val="auto"/>
          <w:sz w:val="24"/>
          <w:szCs w:val="24"/>
        </w:rPr>
      </w:pPr>
      <w:r w:rsidRPr="00CD01CD">
        <w:rPr>
          <w:rFonts w:asciiTheme="minorHAnsi" w:eastAsia="Times New Roman" w:hAnsiTheme="minorHAnsi" w:cstheme="minorHAnsi"/>
          <w:color w:val="auto"/>
          <w:sz w:val="24"/>
          <w:szCs w:val="24"/>
        </w:rPr>
        <w:t>zgoda rodziców na udział w projekcie,</w:t>
      </w:r>
    </w:p>
    <w:p w:rsidR="001F7468" w:rsidRPr="00CD01CD" w:rsidRDefault="001F7468" w:rsidP="001F7468">
      <w:pPr>
        <w:pStyle w:val="Akapitzlist"/>
        <w:numPr>
          <w:ilvl w:val="0"/>
          <w:numId w:val="5"/>
        </w:numPr>
        <w:spacing w:after="0" w:line="276" w:lineRule="auto"/>
        <w:ind w:left="1418" w:hanging="425"/>
        <w:jc w:val="both"/>
        <w:rPr>
          <w:rFonts w:asciiTheme="minorHAnsi" w:eastAsia="Calibri" w:hAnsiTheme="minorHAnsi" w:cstheme="minorHAnsi"/>
          <w:color w:val="auto"/>
          <w:sz w:val="24"/>
          <w:szCs w:val="24"/>
        </w:rPr>
      </w:pPr>
      <w:r w:rsidRPr="00CD01CD">
        <w:rPr>
          <w:rFonts w:asciiTheme="minorHAnsi" w:eastAsia="Times New Roman" w:hAnsiTheme="minorHAnsi" w:cstheme="minorHAnsi"/>
          <w:color w:val="auto"/>
          <w:sz w:val="24"/>
          <w:szCs w:val="24"/>
        </w:rPr>
        <w:t>zgoda na przetwarzanie danych osobowych.</w:t>
      </w:r>
    </w:p>
    <w:p w:rsidR="001F7468" w:rsidRPr="00CD01CD"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hAnsiTheme="minorHAnsi" w:cstheme="minorHAnsi"/>
          <w:color w:val="auto"/>
          <w:sz w:val="24"/>
          <w:szCs w:val="24"/>
        </w:rPr>
        <w:t>W trakcie trwania Rekrutacji informacji oraz wsparcia udzielają uczniom Członkowie Komisji Rekrutacyjnej oraz Koordynator Projektu.</w:t>
      </w:r>
    </w:p>
    <w:p w:rsidR="001F7468" w:rsidRPr="001C0B6A"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hAnsiTheme="minorHAnsi" w:cstheme="minorHAnsi"/>
          <w:color w:val="auto"/>
          <w:sz w:val="24"/>
          <w:szCs w:val="24"/>
        </w:rPr>
        <w:t xml:space="preserve">Procedura </w:t>
      </w:r>
      <w:r w:rsidRPr="001C0B6A">
        <w:rPr>
          <w:rFonts w:asciiTheme="minorHAnsi" w:hAnsiTheme="minorHAnsi" w:cstheme="minorHAnsi"/>
          <w:color w:val="auto"/>
          <w:sz w:val="24"/>
          <w:szCs w:val="24"/>
        </w:rPr>
        <w:t xml:space="preserve">rekrutacyjna rozpoczyna się </w:t>
      </w:r>
      <w:r w:rsidR="00E91292">
        <w:rPr>
          <w:rFonts w:asciiTheme="minorHAnsi" w:hAnsiTheme="minorHAnsi" w:cstheme="minorHAnsi"/>
          <w:color w:val="auto"/>
          <w:sz w:val="24"/>
          <w:szCs w:val="24"/>
        </w:rPr>
        <w:t>23</w:t>
      </w:r>
      <w:r w:rsidRPr="001C0B6A">
        <w:rPr>
          <w:rFonts w:asciiTheme="minorHAnsi" w:hAnsiTheme="minorHAnsi" w:cstheme="minorHAnsi"/>
          <w:color w:val="auto"/>
          <w:sz w:val="24"/>
          <w:szCs w:val="24"/>
        </w:rPr>
        <w:t>.0</w:t>
      </w:r>
      <w:r w:rsidR="00E91292">
        <w:rPr>
          <w:rFonts w:asciiTheme="minorHAnsi" w:hAnsiTheme="minorHAnsi" w:cstheme="minorHAnsi"/>
          <w:color w:val="auto"/>
          <w:sz w:val="24"/>
          <w:szCs w:val="24"/>
        </w:rPr>
        <w:t>2.2026</w:t>
      </w:r>
      <w:r w:rsidRPr="001C0B6A">
        <w:rPr>
          <w:rFonts w:asciiTheme="minorHAnsi" w:hAnsiTheme="minorHAnsi" w:cstheme="minorHAnsi"/>
          <w:color w:val="auto"/>
          <w:sz w:val="24"/>
          <w:szCs w:val="24"/>
        </w:rPr>
        <w:t xml:space="preserve"> o godzinie 8:00, a kończy </w:t>
      </w:r>
      <w:r w:rsidR="005A011D">
        <w:rPr>
          <w:rFonts w:asciiTheme="minorHAnsi" w:hAnsiTheme="minorHAnsi" w:cstheme="minorHAnsi"/>
          <w:color w:val="auto"/>
          <w:sz w:val="24"/>
          <w:szCs w:val="24"/>
        </w:rPr>
        <w:t>04</w:t>
      </w:r>
      <w:r w:rsidRPr="001C0B6A">
        <w:rPr>
          <w:rFonts w:asciiTheme="minorHAnsi" w:hAnsiTheme="minorHAnsi" w:cstheme="minorHAnsi"/>
          <w:color w:val="auto"/>
          <w:sz w:val="24"/>
          <w:szCs w:val="24"/>
        </w:rPr>
        <w:t>.</w:t>
      </w:r>
      <w:r w:rsidR="005A011D">
        <w:rPr>
          <w:rFonts w:asciiTheme="minorHAnsi" w:hAnsiTheme="minorHAnsi" w:cstheme="minorHAnsi"/>
          <w:color w:val="auto"/>
          <w:sz w:val="24"/>
          <w:szCs w:val="24"/>
        </w:rPr>
        <w:t>03.2026</w:t>
      </w:r>
      <w:r>
        <w:rPr>
          <w:rFonts w:asciiTheme="minorHAnsi" w:hAnsiTheme="minorHAnsi" w:cstheme="minorHAnsi"/>
          <w:color w:val="auto"/>
          <w:sz w:val="24"/>
          <w:szCs w:val="24"/>
        </w:rPr>
        <w:t xml:space="preserve"> o godzinie 13</w:t>
      </w:r>
      <w:r w:rsidRPr="001C0B6A">
        <w:rPr>
          <w:rFonts w:asciiTheme="minorHAnsi" w:hAnsiTheme="minorHAnsi" w:cstheme="minorHAnsi"/>
          <w:color w:val="auto"/>
          <w:sz w:val="24"/>
          <w:szCs w:val="24"/>
        </w:rPr>
        <w:t>:00 (</w:t>
      </w:r>
      <w:r>
        <w:rPr>
          <w:color w:val="auto"/>
          <w:sz w:val="24"/>
          <w:szCs w:val="24"/>
          <w:u w:val="single"/>
        </w:rPr>
        <w:t>składanie</w:t>
      </w:r>
      <w:r w:rsidRPr="00381D38">
        <w:rPr>
          <w:color w:val="auto"/>
          <w:sz w:val="24"/>
          <w:szCs w:val="24"/>
          <w:u w:val="single"/>
        </w:rPr>
        <w:t xml:space="preserve"> formularzy aplikacyjnych:</w:t>
      </w:r>
      <w:r w:rsidRPr="001C0B6A">
        <w:rPr>
          <w:color w:val="auto"/>
          <w:sz w:val="24"/>
          <w:szCs w:val="24"/>
        </w:rPr>
        <w:t xml:space="preserve"> </w:t>
      </w:r>
      <w:r w:rsidR="003966A4">
        <w:rPr>
          <w:color w:val="auto"/>
          <w:sz w:val="24"/>
          <w:szCs w:val="24"/>
        </w:rPr>
        <w:t>od 25</w:t>
      </w:r>
      <w:r w:rsidR="003966A4">
        <w:rPr>
          <w:color w:val="auto"/>
          <w:sz w:val="24"/>
          <w:szCs w:val="24"/>
          <w:u w:val="single"/>
        </w:rPr>
        <w:t>.02.2026 – 02.03.2026</w:t>
      </w:r>
      <w:r>
        <w:rPr>
          <w:color w:val="auto"/>
          <w:sz w:val="24"/>
          <w:szCs w:val="24"/>
          <w:u w:val="single"/>
        </w:rPr>
        <w:t xml:space="preserve"> do godz. 13:0</w:t>
      </w:r>
      <w:r w:rsidRPr="00381D38">
        <w:rPr>
          <w:color w:val="auto"/>
          <w:sz w:val="24"/>
          <w:szCs w:val="24"/>
          <w:u w:val="single"/>
        </w:rPr>
        <w:t>0</w:t>
      </w:r>
      <w:r w:rsidRPr="001C0B6A">
        <w:rPr>
          <w:rFonts w:asciiTheme="minorHAnsi" w:hAnsiTheme="minorHAnsi" w:cstheme="minorHAnsi"/>
          <w:color w:val="auto"/>
          <w:sz w:val="24"/>
          <w:szCs w:val="24"/>
        </w:rPr>
        <w:t>).</w:t>
      </w:r>
    </w:p>
    <w:p w:rsidR="001F7468" w:rsidRPr="00CD01CD"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hAnsiTheme="minorHAnsi" w:cstheme="minorHAnsi"/>
          <w:color w:val="auto"/>
          <w:sz w:val="24"/>
          <w:szCs w:val="24"/>
        </w:rPr>
        <w:t>Rekrutacja do projektu będzie się odbywać z uwzględnieniem zasady równości szans i niedyskryminacji oraz zasady równości szans kobiet i mężczyzn.</w:t>
      </w:r>
    </w:p>
    <w:p w:rsidR="001F7468" w:rsidRPr="00CD01CD"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 xml:space="preserve">Proces rekrutacji zostanie zakończony sporządzeniem przez Zespół Rekrutacyjny listy głównej i rezerwowej oraz poinformowanie osób zainteresowanych </w:t>
      </w:r>
      <w:r>
        <w:rPr>
          <w:rFonts w:asciiTheme="minorHAnsi" w:eastAsia="Times New Roman" w:hAnsiTheme="minorHAnsi" w:cstheme="minorHAnsi"/>
          <w:color w:val="auto"/>
          <w:sz w:val="24"/>
          <w:szCs w:val="24"/>
        </w:rPr>
        <w:t>przez wywieszenie list w gablocie</w:t>
      </w:r>
      <w:r w:rsidRPr="00CD01CD">
        <w:rPr>
          <w:rFonts w:asciiTheme="minorHAnsi" w:eastAsia="Times New Roman" w:hAnsiTheme="minorHAnsi" w:cstheme="minorHAnsi"/>
          <w:color w:val="auto"/>
          <w:sz w:val="24"/>
          <w:szCs w:val="24"/>
        </w:rPr>
        <w:t xml:space="preserve">. </w:t>
      </w:r>
    </w:p>
    <w:p w:rsidR="001F7468" w:rsidRPr="00CD01CD"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 xml:space="preserve">W przypadku, gdy uczeń zrezygnuje z udziału w projekcie, zostanie skreślony lub nie wyrazi zgody na przetwarzanie danych osobowych, wolne miejsce zajmie pierwsza w kolejności osoba z listy rezerwowej, </w:t>
      </w:r>
    </w:p>
    <w:p w:rsidR="001F7468" w:rsidRPr="00CD01CD" w:rsidRDefault="001F7468" w:rsidP="001F7468">
      <w:pPr>
        <w:pStyle w:val="Akapitzlist"/>
        <w:numPr>
          <w:ilvl w:val="0"/>
          <w:numId w:val="2"/>
        </w:numPr>
        <w:spacing w:after="0" w:line="276" w:lineRule="auto"/>
        <w:ind w:left="993" w:hanging="633"/>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 xml:space="preserve">Kandydat na uczestnika projektu – uczeń  –  powinien spełniać następujące wymagania: </w:t>
      </w:r>
    </w:p>
    <w:p w:rsidR="001F7468" w:rsidRPr="00CD01CD" w:rsidRDefault="001F7468" w:rsidP="001F7468">
      <w:pPr>
        <w:pStyle w:val="Akapitzlist"/>
        <w:numPr>
          <w:ilvl w:val="0"/>
          <w:numId w:val="6"/>
        </w:numPr>
        <w:spacing w:after="0" w:line="276" w:lineRule="auto"/>
        <w:ind w:left="1418" w:hanging="425"/>
        <w:jc w:val="both"/>
        <w:rPr>
          <w:rFonts w:asciiTheme="minorHAnsi" w:eastAsia="Calibri" w:hAnsiTheme="minorHAnsi" w:cstheme="minorHAnsi"/>
          <w:color w:val="auto"/>
          <w:sz w:val="24"/>
          <w:szCs w:val="24"/>
        </w:rPr>
      </w:pPr>
      <w:r w:rsidRPr="00CD01CD">
        <w:rPr>
          <w:rFonts w:asciiTheme="minorHAnsi" w:eastAsia="Times New Roman" w:hAnsiTheme="minorHAnsi" w:cstheme="minorHAnsi"/>
          <w:color w:val="auto"/>
          <w:sz w:val="24"/>
          <w:szCs w:val="24"/>
        </w:rPr>
        <w:t xml:space="preserve">jest uczniem klasy drugiej, trzeciej lub czwartej </w:t>
      </w:r>
      <w:r>
        <w:rPr>
          <w:rFonts w:asciiTheme="minorHAnsi" w:eastAsia="Times New Roman" w:hAnsiTheme="minorHAnsi" w:cstheme="minorHAnsi"/>
          <w:color w:val="auto"/>
          <w:sz w:val="24"/>
          <w:szCs w:val="24"/>
        </w:rPr>
        <w:t xml:space="preserve"> Technikum nr 3,  Zespołu Szkół Politechnicznych,</w:t>
      </w:r>
    </w:p>
    <w:p w:rsidR="001F7468" w:rsidRPr="00CD01CD" w:rsidRDefault="001F7468" w:rsidP="001F7468">
      <w:pPr>
        <w:pStyle w:val="Akapitzlist"/>
        <w:numPr>
          <w:ilvl w:val="0"/>
          <w:numId w:val="6"/>
        </w:numPr>
        <w:spacing w:after="0" w:line="276" w:lineRule="auto"/>
        <w:ind w:left="1418" w:hanging="425"/>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posiada pozytywną opinię wychowawcy z uwzględnieniem informacji n/t zachowania</w:t>
      </w:r>
      <w:r>
        <w:rPr>
          <w:rFonts w:asciiTheme="minorHAnsi" w:eastAsia="Times New Roman" w:hAnsiTheme="minorHAnsi" w:cstheme="minorHAnsi"/>
          <w:color w:val="auto"/>
          <w:sz w:val="24"/>
          <w:szCs w:val="24"/>
        </w:rPr>
        <w:t xml:space="preserve"> </w:t>
      </w:r>
      <w:r w:rsidRPr="00CD01CD">
        <w:rPr>
          <w:rFonts w:asciiTheme="minorHAnsi" w:eastAsia="Times New Roman" w:hAnsiTheme="minorHAnsi" w:cstheme="minorHAnsi"/>
          <w:color w:val="auto"/>
          <w:sz w:val="24"/>
          <w:szCs w:val="24"/>
        </w:rPr>
        <w:t xml:space="preserve"> i zaangażowania w życie szkoły,</w:t>
      </w:r>
    </w:p>
    <w:p w:rsidR="001F7468" w:rsidRPr="002D7A9E" w:rsidRDefault="001F7468" w:rsidP="001F7468">
      <w:pPr>
        <w:pStyle w:val="Akapitzlist"/>
        <w:numPr>
          <w:ilvl w:val="0"/>
          <w:numId w:val="6"/>
        </w:numPr>
        <w:spacing w:after="0" w:line="276" w:lineRule="auto"/>
        <w:ind w:left="1418" w:hanging="425"/>
        <w:jc w:val="both"/>
        <w:rPr>
          <w:rFonts w:asciiTheme="minorHAnsi" w:hAnsiTheme="minorHAnsi" w:cstheme="minorHAnsi"/>
          <w:color w:val="auto"/>
          <w:sz w:val="24"/>
          <w:szCs w:val="24"/>
        </w:rPr>
      </w:pPr>
      <w:r w:rsidRPr="00CD01CD">
        <w:rPr>
          <w:rFonts w:asciiTheme="minorHAnsi" w:eastAsia="Times New Roman" w:hAnsiTheme="minorHAnsi" w:cstheme="minorHAnsi"/>
          <w:color w:val="auto"/>
          <w:sz w:val="24"/>
          <w:szCs w:val="24"/>
        </w:rPr>
        <w:t xml:space="preserve">posiada ważny dowód osobisty </w:t>
      </w:r>
      <w:r>
        <w:rPr>
          <w:rFonts w:asciiTheme="minorHAnsi" w:eastAsia="Times New Roman" w:hAnsiTheme="minorHAnsi" w:cstheme="minorHAnsi"/>
          <w:color w:val="auto"/>
          <w:sz w:val="24"/>
          <w:szCs w:val="24"/>
        </w:rPr>
        <w:t xml:space="preserve">lub paszport </w:t>
      </w:r>
      <w:r w:rsidRPr="00A07BDD">
        <w:rPr>
          <w:rFonts w:asciiTheme="minorHAnsi" w:eastAsia="Times New Roman" w:hAnsiTheme="minorHAnsi" w:cstheme="minorHAnsi"/>
          <w:color w:val="auto"/>
          <w:sz w:val="24"/>
          <w:szCs w:val="24"/>
        </w:rPr>
        <w:t>co najmniej na kolejny rok kalendarzowy</w:t>
      </w:r>
      <w:r w:rsidRPr="00191850">
        <w:rPr>
          <w:rFonts w:asciiTheme="minorHAnsi" w:eastAsia="Times New Roman" w:hAnsiTheme="minorHAnsi" w:cstheme="minorHAnsi"/>
          <w:color w:val="C00000"/>
          <w:sz w:val="24"/>
          <w:szCs w:val="24"/>
        </w:rPr>
        <w:t>,</w:t>
      </w:r>
    </w:p>
    <w:p w:rsidR="001F7468" w:rsidRPr="00CD01CD" w:rsidRDefault="001F7468" w:rsidP="001F7468">
      <w:pPr>
        <w:pStyle w:val="Akapitzlist"/>
        <w:numPr>
          <w:ilvl w:val="0"/>
          <w:numId w:val="6"/>
        </w:numPr>
        <w:spacing w:after="0" w:line="276" w:lineRule="auto"/>
        <w:ind w:left="1418" w:hanging="425"/>
        <w:jc w:val="both"/>
        <w:rPr>
          <w:rFonts w:asciiTheme="minorHAnsi" w:hAnsiTheme="minorHAnsi" w:cstheme="minorHAnsi"/>
          <w:color w:val="auto"/>
          <w:sz w:val="24"/>
          <w:szCs w:val="24"/>
        </w:rPr>
      </w:pPr>
      <w:r>
        <w:rPr>
          <w:rFonts w:asciiTheme="minorHAnsi" w:eastAsia="Times New Roman" w:hAnsiTheme="minorHAnsi" w:cstheme="minorHAnsi"/>
          <w:color w:val="auto"/>
          <w:sz w:val="24"/>
          <w:szCs w:val="24"/>
        </w:rPr>
        <w:t>posiada  ważną europejską kartę ubezpieczenia zdrowotnego EKUZ.</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 xml:space="preserve">Po pozytywnym przejściu procesu rekrutacji, uczeń wypełnia oświadczenie </w:t>
      </w:r>
      <w:r w:rsidR="003966A4">
        <w:rPr>
          <w:rFonts w:asciiTheme="minorHAnsi" w:eastAsia="Times New Roman" w:hAnsiTheme="minorHAnsi" w:cstheme="minorHAnsi"/>
          <w:color w:val="auto"/>
          <w:sz w:val="24"/>
          <w:szCs w:val="24"/>
        </w:rPr>
        <w:br/>
      </w:r>
      <w:r w:rsidRPr="00CD01CD">
        <w:rPr>
          <w:rFonts w:asciiTheme="minorHAnsi" w:eastAsia="Times New Roman" w:hAnsiTheme="minorHAnsi" w:cstheme="minorHAnsi"/>
          <w:color w:val="auto"/>
          <w:sz w:val="24"/>
          <w:szCs w:val="24"/>
        </w:rPr>
        <w:t xml:space="preserve">o wyrażeniu zgody na przetwarzanie danych osobowych i pisemnie potwierdza zapoznanie się z zasadami udziału w projekcie. </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 xml:space="preserve">Brak zgody na przetwarzanie danych osobowych powoduje, że uczeń nie może być uczestnikiem zajęć realizowanych w ramach projektu. </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 xml:space="preserve">Złożone przez kandydata dokumenty nie podlegają zwrotowi. </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 xml:space="preserve">W przypadku zbyt małej liczby uczestników rekrutacja może zostać wznowiona </w:t>
      </w:r>
      <w:r w:rsidR="003966A4">
        <w:rPr>
          <w:rFonts w:asciiTheme="minorHAnsi" w:eastAsia="Times New Roman" w:hAnsiTheme="minorHAnsi" w:cstheme="minorHAnsi"/>
          <w:color w:val="auto"/>
          <w:sz w:val="24"/>
          <w:szCs w:val="24"/>
        </w:rPr>
        <w:br/>
      </w:r>
      <w:r w:rsidRPr="00CD01CD">
        <w:rPr>
          <w:rFonts w:asciiTheme="minorHAnsi" w:eastAsia="Times New Roman" w:hAnsiTheme="minorHAnsi" w:cstheme="minorHAnsi"/>
          <w:color w:val="auto"/>
          <w:sz w:val="24"/>
          <w:szCs w:val="24"/>
        </w:rPr>
        <w:t xml:space="preserve">w dowolnym momencie trwania projektu. </w:t>
      </w:r>
    </w:p>
    <w:p w:rsidR="001F7468"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W przypadku uzyskania jednakowej liczby punktów przez uczniów, o kolejności kandydatów na listach</w:t>
      </w:r>
      <w:r w:rsidRPr="001C0B6A">
        <w:rPr>
          <w:rFonts w:asciiTheme="minorHAnsi" w:eastAsia="Times New Roman" w:hAnsiTheme="minorHAnsi" w:cstheme="minorHAnsi"/>
          <w:color w:val="auto"/>
          <w:sz w:val="24"/>
          <w:szCs w:val="24"/>
        </w:rPr>
        <w:t xml:space="preserve"> decyduje średnia wszystkich ocen  i ocena z języka obcego.</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hAnsiTheme="minorHAnsi" w:cstheme="minorHAnsi"/>
          <w:color w:val="auto"/>
          <w:sz w:val="24"/>
          <w:szCs w:val="24"/>
        </w:rPr>
        <w:t xml:space="preserve">W przypadku niezakwalifikowania się uczestnika do Projektu przysługuje mu prawo </w:t>
      </w:r>
      <w:r>
        <w:rPr>
          <w:rFonts w:asciiTheme="minorHAnsi" w:hAnsiTheme="minorHAnsi" w:cstheme="minorHAnsi"/>
          <w:color w:val="auto"/>
          <w:sz w:val="24"/>
          <w:szCs w:val="24"/>
        </w:rPr>
        <w:t xml:space="preserve">                                 </w:t>
      </w:r>
      <w:r w:rsidRPr="00CD01CD">
        <w:rPr>
          <w:rFonts w:asciiTheme="minorHAnsi" w:hAnsiTheme="minorHAnsi" w:cstheme="minorHAnsi"/>
          <w:color w:val="auto"/>
          <w:sz w:val="24"/>
          <w:szCs w:val="24"/>
        </w:rPr>
        <w:t>do wniesienia odwołania.</w:t>
      </w:r>
    </w:p>
    <w:p w:rsidR="001F7468" w:rsidRPr="00CD01CD"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hAnsiTheme="minorHAnsi" w:cstheme="minorHAnsi"/>
          <w:color w:val="auto"/>
          <w:sz w:val="24"/>
          <w:szCs w:val="24"/>
        </w:rPr>
        <w:t>Procedurę odwoławczą prowadzi Dyrektor Szkoły.</w:t>
      </w:r>
    </w:p>
    <w:p w:rsidR="001F7468" w:rsidRPr="006E609F"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hAnsiTheme="minorHAnsi" w:cstheme="minorHAnsi"/>
          <w:color w:val="auto"/>
          <w:sz w:val="24"/>
          <w:szCs w:val="24"/>
        </w:rPr>
        <w:t xml:space="preserve">Odwołanie od decyzji komisji składa się </w:t>
      </w:r>
      <w:r w:rsidRPr="006E609F">
        <w:rPr>
          <w:rFonts w:asciiTheme="minorHAnsi" w:hAnsiTheme="minorHAnsi" w:cstheme="minorHAnsi"/>
          <w:color w:val="auto"/>
          <w:sz w:val="24"/>
          <w:szCs w:val="24"/>
        </w:rPr>
        <w:t xml:space="preserve">w terminie  3 dni od ogłoszenia list do Dyrektora Szkoły na piśmie, wskazując w nim niezgodności co do końcowej oceny formularza zgłoszeniowego lub w zakresie procedury rekrutacyjnej. Dyrektor </w:t>
      </w:r>
      <w:r w:rsidRPr="006E609F">
        <w:rPr>
          <w:rFonts w:asciiTheme="minorHAnsi" w:hAnsiTheme="minorHAnsi" w:cstheme="minorHAnsi"/>
          <w:color w:val="auto"/>
          <w:sz w:val="24"/>
          <w:szCs w:val="24"/>
        </w:rPr>
        <w:lastRenderedPageBreak/>
        <w:t>rozpatruje odwołania i wyda decyzję o ich uwzględnieniu lub odrzuceniu w okresie 3 dni robocz</w:t>
      </w:r>
      <w:r>
        <w:rPr>
          <w:rFonts w:asciiTheme="minorHAnsi" w:hAnsiTheme="minorHAnsi" w:cstheme="minorHAnsi"/>
          <w:color w:val="auto"/>
          <w:sz w:val="24"/>
          <w:szCs w:val="24"/>
        </w:rPr>
        <w:t>ych.</w:t>
      </w:r>
    </w:p>
    <w:p w:rsidR="001F7468"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Uczniowie, którzy zostali zakwalifikowani do udziału w projekcie są zobowiązani do udziału</w:t>
      </w:r>
      <w:r>
        <w:rPr>
          <w:rFonts w:asciiTheme="minorHAnsi" w:eastAsia="Times New Roman" w:hAnsiTheme="minorHAnsi" w:cstheme="minorHAnsi"/>
          <w:color w:val="auto"/>
          <w:sz w:val="24"/>
          <w:szCs w:val="24"/>
        </w:rPr>
        <w:t xml:space="preserve"> </w:t>
      </w:r>
      <w:r w:rsidRPr="00CD01CD">
        <w:rPr>
          <w:rFonts w:asciiTheme="minorHAnsi" w:eastAsia="Times New Roman" w:hAnsiTheme="minorHAnsi" w:cstheme="minorHAnsi"/>
          <w:color w:val="auto"/>
          <w:sz w:val="24"/>
          <w:szCs w:val="24"/>
        </w:rPr>
        <w:t>w spotkaniu informacyjnym z Zespołem Rekrutacyjnym wraz z opiekunami/rodzicami.</w:t>
      </w:r>
    </w:p>
    <w:p w:rsidR="001F7468" w:rsidRDefault="001F7468" w:rsidP="001F7468">
      <w:pPr>
        <w:pStyle w:val="Akapitzlist"/>
        <w:numPr>
          <w:ilvl w:val="0"/>
          <w:numId w:val="2"/>
        </w:numPr>
        <w:spacing w:after="0" w:line="276" w:lineRule="auto"/>
        <w:ind w:left="993" w:hanging="567"/>
        <w:jc w:val="both"/>
        <w:rPr>
          <w:rFonts w:asciiTheme="minorHAnsi" w:eastAsia="Times New Roman" w:hAnsiTheme="minorHAnsi" w:cstheme="minorHAnsi"/>
          <w:color w:val="auto"/>
          <w:sz w:val="24"/>
          <w:szCs w:val="24"/>
        </w:rPr>
      </w:pPr>
      <w:r w:rsidRPr="00CD01CD">
        <w:rPr>
          <w:rFonts w:asciiTheme="minorHAnsi" w:eastAsia="Times New Roman" w:hAnsiTheme="minorHAnsi" w:cstheme="minorHAnsi"/>
          <w:color w:val="auto"/>
          <w:sz w:val="24"/>
          <w:szCs w:val="24"/>
        </w:rPr>
        <w:t>Kryteria rekrutacji:</w:t>
      </w:r>
    </w:p>
    <w:p w:rsidR="001F7468" w:rsidRPr="008D64DC" w:rsidRDefault="001F7468" w:rsidP="001F7468">
      <w:pPr>
        <w:numPr>
          <w:ilvl w:val="0"/>
          <w:numId w:val="7"/>
        </w:numPr>
        <w:spacing w:after="0" w:line="240" w:lineRule="auto"/>
        <w:ind w:left="1418" w:hanging="425"/>
        <w:jc w:val="both"/>
        <w:rPr>
          <w:rFonts w:asciiTheme="minorHAnsi" w:eastAsia="Calibri" w:hAnsiTheme="minorHAnsi" w:cstheme="minorHAnsi"/>
          <w:bCs/>
          <w:color w:val="auto"/>
          <w:sz w:val="24"/>
          <w:szCs w:val="24"/>
        </w:rPr>
      </w:pPr>
      <w:r>
        <w:rPr>
          <w:rFonts w:asciiTheme="minorHAnsi" w:eastAsia="Calibri" w:hAnsiTheme="minorHAnsi" w:cstheme="minorHAnsi"/>
          <w:bCs/>
          <w:color w:val="auto"/>
          <w:sz w:val="24"/>
          <w:szCs w:val="24"/>
        </w:rPr>
        <w:t>z</w:t>
      </w:r>
      <w:r w:rsidRPr="001E6345">
        <w:rPr>
          <w:rFonts w:asciiTheme="minorHAnsi" w:eastAsia="Calibri" w:hAnsiTheme="minorHAnsi" w:cstheme="minorHAnsi"/>
          <w:bCs/>
          <w:color w:val="auto"/>
          <w:sz w:val="24"/>
          <w:szCs w:val="24"/>
        </w:rPr>
        <w:t>achowanie</w:t>
      </w:r>
      <w:r w:rsidRPr="008D64DC">
        <w:rPr>
          <w:rFonts w:asciiTheme="minorHAnsi" w:eastAsia="Calibri" w:hAnsiTheme="minorHAnsi" w:cstheme="minorHAnsi"/>
          <w:bCs/>
          <w:color w:val="auto"/>
          <w:sz w:val="24"/>
          <w:szCs w:val="24"/>
        </w:rPr>
        <w:t xml:space="preserve"> </w:t>
      </w:r>
      <w:r w:rsidRPr="001E6345">
        <w:rPr>
          <w:rFonts w:asciiTheme="minorHAnsi" w:eastAsia="Calibri" w:hAnsiTheme="minorHAnsi" w:cstheme="minorHAnsi"/>
          <w:color w:val="auto"/>
          <w:sz w:val="24"/>
          <w:szCs w:val="24"/>
        </w:rPr>
        <w:t>z okresu poprzed</w:t>
      </w:r>
      <w:r w:rsidRPr="008D64DC">
        <w:rPr>
          <w:rFonts w:asciiTheme="minorHAnsi" w:eastAsia="Calibri" w:hAnsiTheme="minorHAnsi" w:cstheme="minorHAnsi"/>
          <w:color w:val="auto"/>
          <w:sz w:val="24"/>
          <w:szCs w:val="24"/>
        </w:rPr>
        <w:t>zającego rekrutację do projektu</w:t>
      </w:r>
      <w:r w:rsidRPr="008D64DC">
        <w:rPr>
          <w:rFonts w:asciiTheme="minorHAnsi" w:eastAsia="Calibri" w:hAnsiTheme="minorHAnsi" w:cstheme="minorHAnsi"/>
          <w:bCs/>
          <w:color w:val="auto"/>
          <w:sz w:val="24"/>
          <w:szCs w:val="24"/>
        </w:rPr>
        <w:t xml:space="preserve"> [max. 20 pkt.]:</w:t>
      </w:r>
    </w:p>
    <w:p w:rsidR="001F7468" w:rsidRPr="001E6345" w:rsidRDefault="001F7468" w:rsidP="001F7468">
      <w:pPr>
        <w:spacing w:after="0" w:line="240" w:lineRule="auto"/>
        <w:ind w:left="851"/>
        <w:jc w:val="both"/>
        <w:rPr>
          <w:rFonts w:asciiTheme="minorHAnsi" w:eastAsia="Calibri" w:hAnsiTheme="minorHAnsi" w:cstheme="minorHAnsi"/>
          <w:b/>
          <w:bCs/>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1978"/>
      </w:tblGrid>
      <w:tr w:rsidR="001F7468" w:rsidRPr="001E6345" w:rsidTr="00CD5911">
        <w:trPr>
          <w:trHeight w:val="70"/>
          <w:jc w:val="center"/>
        </w:trPr>
        <w:tc>
          <w:tcPr>
            <w:tcW w:w="3626"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Zachowanie</w:t>
            </w:r>
          </w:p>
        </w:tc>
        <w:tc>
          <w:tcPr>
            <w:tcW w:w="1978"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Liczba punktów</w:t>
            </w:r>
          </w:p>
        </w:tc>
      </w:tr>
      <w:tr w:rsidR="001F7468" w:rsidRPr="001E6345" w:rsidTr="00CD5911">
        <w:trPr>
          <w:trHeight w:val="108"/>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wzorowe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20 pkt.</w:t>
            </w:r>
          </w:p>
        </w:tc>
      </w:tr>
      <w:tr w:rsidR="001F7468" w:rsidRPr="001E6345" w:rsidTr="00CD5911">
        <w:trPr>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bardzo dobre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15 pkt.</w:t>
            </w:r>
          </w:p>
        </w:tc>
      </w:tr>
      <w:tr w:rsidR="001F7468" w:rsidRPr="001E6345" w:rsidTr="00CD5911">
        <w:trPr>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dobre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10 pkt.</w:t>
            </w:r>
          </w:p>
        </w:tc>
      </w:tr>
      <w:tr w:rsidR="001F7468" w:rsidRPr="001E6345" w:rsidTr="00CD5911">
        <w:trPr>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poprawne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5 pkt.</w:t>
            </w:r>
          </w:p>
        </w:tc>
      </w:tr>
      <w:tr w:rsidR="001F7468" w:rsidRPr="001E6345" w:rsidTr="00CD5911">
        <w:trPr>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nieodpowiednie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0 pkt.</w:t>
            </w:r>
          </w:p>
        </w:tc>
      </w:tr>
      <w:tr w:rsidR="001F7468" w:rsidRPr="001E6345" w:rsidTr="00CD5911">
        <w:trPr>
          <w:jc w:val="center"/>
        </w:trPr>
        <w:tc>
          <w:tcPr>
            <w:tcW w:w="3626"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naganne</w:t>
            </w:r>
          </w:p>
        </w:tc>
        <w:tc>
          <w:tcPr>
            <w:tcW w:w="1978" w:type="dxa"/>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0 pkt.</w:t>
            </w:r>
          </w:p>
        </w:tc>
      </w:tr>
    </w:tbl>
    <w:p w:rsidR="001F7468" w:rsidRPr="008D64DC" w:rsidRDefault="001F7468" w:rsidP="001F7468">
      <w:pPr>
        <w:numPr>
          <w:ilvl w:val="0"/>
          <w:numId w:val="7"/>
        </w:numPr>
        <w:spacing w:after="0" w:line="240" w:lineRule="auto"/>
        <w:ind w:left="1418" w:hanging="425"/>
        <w:contextualSpacing/>
        <w:rPr>
          <w:rFonts w:asciiTheme="minorHAnsi" w:eastAsia="Calibri" w:hAnsiTheme="minorHAnsi" w:cstheme="minorHAnsi"/>
          <w:bCs/>
          <w:color w:val="auto"/>
          <w:sz w:val="24"/>
          <w:szCs w:val="24"/>
        </w:rPr>
      </w:pPr>
      <w:r w:rsidRPr="001E6345">
        <w:rPr>
          <w:rFonts w:asciiTheme="minorHAnsi" w:eastAsia="Calibri" w:hAnsiTheme="minorHAnsi" w:cstheme="minorHAnsi"/>
          <w:bCs/>
          <w:color w:val="auto"/>
          <w:sz w:val="24"/>
          <w:szCs w:val="24"/>
        </w:rPr>
        <w:t>średn</w:t>
      </w:r>
      <w:r>
        <w:rPr>
          <w:rFonts w:asciiTheme="minorHAnsi" w:eastAsia="Calibri" w:hAnsiTheme="minorHAnsi" w:cstheme="minorHAnsi"/>
          <w:bCs/>
          <w:color w:val="auto"/>
          <w:sz w:val="24"/>
          <w:szCs w:val="24"/>
        </w:rPr>
        <w:t xml:space="preserve">ia ocen </w:t>
      </w:r>
      <w:r w:rsidRPr="008D64DC">
        <w:rPr>
          <w:rFonts w:asciiTheme="minorHAnsi" w:eastAsia="Calibri" w:hAnsiTheme="minorHAnsi" w:cstheme="minorHAnsi"/>
          <w:color w:val="auto"/>
          <w:sz w:val="24"/>
          <w:szCs w:val="24"/>
        </w:rPr>
        <w:t xml:space="preserve"> </w:t>
      </w:r>
      <w:r w:rsidRPr="001E6345">
        <w:rPr>
          <w:rFonts w:asciiTheme="minorHAnsi" w:eastAsia="Calibri" w:hAnsiTheme="minorHAnsi" w:cstheme="minorHAnsi"/>
          <w:color w:val="auto"/>
          <w:sz w:val="24"/>
          <w:szCs w:val="24"/>
        </w:rPr>
        <w:t>z okresu poprzed</w:t>
      </w:r>
      <w:r w:rsidRPr="008D64DC">
        <w:rPr>
          <w:rFonts w:asciiTheme="minorHAnsi" w:eastAsia="Calibri" w:hAnsiTheme="minorHAnsi" w:cstheme="minorHAnsi"/>
          <w:color w:val="auto"/>
          <w:sz w:val="24"/>
          <w:szCs w:val="24"/>
        </w:rPr>
        <w:t>zającego rekrutację do projektu</w:t>
      </w:r>
      <w:r w:rsidRPr="001E6345">
        <w:rPr>
          <w:rFonts w:asciiTheme="minorHAnsi" w:eastAsia="Calibri" w:hAnsiTheme="minorHAnsi" w:cstheme="minorHAnsi"/>
          <w:bCs/>
          <w:color w:val="auto"/>
          <w:sz w:val="24"/>
          <w:szCs w:val="24"/>
        </w:rPr>
        <w:t xml:space="preserve"> </w:t>
      </w:r>
      <w:r w:rsidRPr="008D64DC">
        <w:rPr>
          <w:rFonts w:asciiTheme="minorHAnsi" w:eastAsia="Calibri" w:hAnsiTheme="minorHAnsi" w:cstheme="minorHAnsi"/>
          <w:bCs/>
          <w:color w:val="auto"/>
          <w:sz w:val="24"/>
          <w:szCs w:val="24"/>
        </w:rPr>
        <w:t>[max. 30 pkt.]:</w:t>
      </w:r>
    </w:p>
    <w:p w:rsidR="001F7468" w:rsidRPr="001E6345" w:rsidRDefault="001F7468" w:rsidP="001F7468">
      <w:pPr>
        <w:spacing w:after="0" w:line="240" w:lineRule="auto"/>
        <w:contextualSpacing/>
        <w:rPr>
          <w:rFonts w:asciiTheme="minorHAnsi" w:eastAsia="Calibri" w:hAnsiTheme="minorHAnsi" w:cstheme="minorHAnsi"/>
          <w:bCs/>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984"/>
      </w:tblGrid>
      <w:tr w:rsidR="001F7468" w:rsidRPr="001E6345" w:rsidTr="00CD5911">
        <w:trPr>
          <w:trHeight w:val="160"/>
          <w:jc w:val="center"/>
        </w:trPr>
        <w:tc>
          <w:tcPr>
            <w:tcW w:w="3686"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 xml:space="preserve"> Średnia ocen (przedział)</w:t>
            </w:r>
          </w:p>
        </w:tc>
        <w:tc>
          <w:tcPr>
            <w:tcW w:w="1984"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Liczba punktów</w:t>
            </w:r>
          </w:p>
        </w:tc>
      </w:tr>
      <w:tr w:rsidR="001F7468" w:rsidRPr="001E6345" w:rsidTr="00CD5911">
        <w:trPr>
          <w:trHeight w:val="273"/>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5,1 i powyżej</w:t>
            </w:r>
          </w:p>
        </w:tc>
        <w:tc>
          <w:tcPr>
            <w:tcW w:w="1984"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30 pkt.</w:t>
            </w:r>
          </w:p>
        </w:tc>
      </w:tr>
      <w:tr w:rsidR="001F7468" w:rsidRPr="001E6345" w:rsidTr="00CD5911">
        <w:trPr>
          <w:trHeight w:val="258"/>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4,6 – 5,0</w:t>
            </w:r>
          </w:p>
        </w:tc>
        <w:tc>
          <w:tcPr>
            <w:tcW w:w="1984"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25 pkt.</w:t>
            </w:r>
          </w:p>
        </w:tc>
      </w:tr>
      <w:tr w:rsidR="001F7468" w:rsidRPr="001E6345" w:rsidTr="00CD5911">
        <w:trPr>
          <w:trHeight w:val="273"/>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4,1 – 4,5</w:t>
            </w:r>
          </w:p>
        </w:tc>
        <w:tc>
          <w:tcPr>
            <w:tcW w:w="1984"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20 pkt.</w:t>
            </w:r>
          </w:p>
        </w:tc>
      </w:tr>
      <w:tr w:rsidR="001F7468" w:rsidRPr="001E6345" w:rsidTr="00CD5911">
        <w:trPr>
          <w:trHeight w:val="258"/>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3,6 – 4,0</w:t>
            </w:r>
          </w:p>
        </w:tc>
        <w:tc>
          <w:tcPr>
            <w:tcW w:w="1984"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15 pkt.</w:t>
            </w:r>
          </w:p>
        </w:tc>
      </w:tr>
      <w:tr w:rsidR="001F7468" w:rsidRPr="001E6345" w:rsidTr="00CD5911">
        <w:trPr>
          <w:trHeight w:val="273"/>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3,0 – 3,5</w:t>
            </w:r>
          </w:p>
        </w:tc>
        <w:tc>
          <w:tcPr>
            <w:tcW w:w="1984"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10 pkt.</w:t>
            </w:r>
          </w:p>
        </w:tc>
      </w:tr>
      <w:tr w:rsidR="001F7468" w:rsidRPr="001E6345" w:rsidTr="00CD5911">
        <w:trPr>
          <w:trHeight w:val="258"/>
          <w:jc w:val="center"/>
        </w:trPr>
        <w:tc>
          <w:tcPr>
            <w:tcW w:w="368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poniżej</w:t>
            </w:r>
          </w:p>
        </w:tc>
        <w:tc>
          <w:tcPr>
            <w:tcW w:w="1984" w:type="dxa"/>
            <w:vAlign w:val="center"/>
          </w:tcPr>
          <w:p w:rsidR="001F7468" w:rsidRPr="001E6345" w:rsidRDefault="001F7468" w:rsidP="00CD5911">
            <w:pPr>
              <w:spacing w:after="0" w:line="240"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0 pkt.</w:t>
            </w:r>
          </w:p>
        </w:tc>
      </w:tr>
    </w:tbl>
    <w:p w:rsidR="001F7468" w:rsidRPr="008D64DC" w:rsidRDefault="001F7468" w:rsidP="001F7468">
      <w:pPr>
        <w:numPr>
          <w:ilvl w:val="0"/>
          <w:numId w:val="7"/>
        </w:numPr>
        <w:spacing w:after="0" w:line="240" w:lineRule="auto"/>
        <w:ind w:left="1418" w:hanging="425"/>
        <w:jc w:val="both"/>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ocena z języka angielskiego z okresu poprzed</w:t>
      </w:r>
      <w:r w:rsidRPr="008D64DC">
        <w:rPr>
          <w:rFonts w:asciiTheme="minorHAnsi" w:eastAsia="Calibri" w:hAnsiTheme="minorHAnsi" w:cstheme="minorHAnsi"/>
          <w:color w:val="auto"/>
          <w:sz w:val="24"/>
          <w:szCs w:val="24"/>
        </w:rPr>
        <w:t>zającego rekrutację do projektu</w:t>
      </w:r>
      <w:r w:rsidRPr="008D64DC">
        <w:rPr>
          <w:rFonts w:asciiTheme="minorHAnsi" w:eastAsia="Calibri" w:hAnsiTheme="minorHAnsi" w:cstheme="minorHAnsi"/>
          <w:bCs/>
          <w:color w:val="auto"/>
          <w:sz w:val="24"/>
          <w:szCs w:val="24"/>
        </w:rPr>
        <w:t xml:space="preserve"> </w:t>
      </w:r>
      <w:r>
        <w:rPr>
          <w:rFonts w:asciiTheme="minorHAnsi" w:eastAsia="Calibri" w:hAnsiTheme="minorHAnsi" w:cstheme="minorHAnsi"/>
          <w:bCs/>
          <w:color w:val="auto"/>
          <w:sz w:val="24"/>
          <w:szCs w:val="24"/>
        </w:rPr>
        <w:t xml:space="preserve">                                </w:t>
      </w:r>
    </w:p>
    <w:p w:rsidR="001F7468" w:rsidRPr="001E6345" w:rsidRDefault="001F7468" w:rsidP="001F7468">
      <w:pPr>
        <w:spacing w:after="0" w:line="240" w:lineRule="auto"/>
        <w:ind w:left="1108"/>
        <w:jc w:val="both"/>
        <w:rPr>
          <w:rFonts w:asciiTheme="minorHAnsi" w:eastAsia="Calibri" w:hAnsiTheme="minorHAnsi" w:cstheme="minorHAnsi"/>
          <w:b/>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212"/>
      </w:tblGrid>
      <w:tr w:rsidR="001F7468" w:rsidRPr="001E6345" w:rsidTr="00CD5911">
        <w:trPr>
          <w:trHeight w:val="160"/>
          <w:jc w:val="center"/>
        </w:trPr>
        <w:tc>
          <w:tcPr>
            <w:tcW w:w="3446"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Pr>
                <w:rFonts w:asciiTheme="minorHAnsi" w:eastAsia="Calibri" w:hAnsiTheme="minorHAnsi" w:cstheme="minorHAnsi"/>
                <w:b/>
                <w:bCs/>
                <w:color w:val="auto"/>
                <w:sz w:val="24"/>
                <w:szCs w:val="24"/>
              </w:rPr>
              <w:t>O</w:t>
            </w:r>
            <w:r w:rsidRPr="001E6345">
              <w:rPr>
                <w:rFonts w:asciiTheme="minorHAnsi" w:eastAsia="Calibri" w:hAnsiTheme="minorHAnsi" w:cstheme="minorHAnsi"/>
                <w:b/>
                <w:bCs/>
                <w:color w:val="auto"/>
                <w:sz w:val="24"/>
                <w:szCs w:val="24"/>
              </w:rPr>
              <w:t>cena</w:t>
            </w:r>
          </w:p>
        </w:tc>
        <w:tc>
          <w:tcPr>
            <w:tcW w:w="2212"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Liczba punktów</w:t>
            </w:r>
          </w:p>
        </w:tc>
      </w:tr>
      <w:tr w:rsidR="001F7468" w:rsidRPr="001E6345" w:rsidTr="00CD5911">
        <w:trPr>
          <w:trHeight w:val="273"/>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6</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20 pkt.</w:t>
            </w:r>
          </w:p>
        </w:tc>
      </w:tr>
      <w:tr w:rsidR="001F7468" w:rsidRPr="001E6345" w:rsidTr="00CD5911">
        <w:trPr>
          <w:trHeight w:val="258"/>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5</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15 pkt.</w:t>
            </w:r>
          </w:p>
        </w:tc>
      </w:tr>
      <w:tr w:rsidR="001F7468" w:rsidRPr="001E6345" w:rsidTr="00CD5911">
        <w:trPr>
          <w:trHeight w:val="273"/>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4</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10 pkt.</w:t>
            </w:r>
          </w:p>
        </w:tc>
      </w:tr>
      <w:tr w:rsidR="001F7468" w:rsidRPr="001E6345" w:rsidTr="00CD5911">
        <w:trPr>
          <w:trHeight w:val="258"/>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3</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5 pkt.</w:t>
            </w:r>
          </w:p>
        </w:tc>
      </w:tr>
      <w:tr w:rsidR="001F7468" w:rsidRPr="001E6345" w:rsidTr="00CD5911">
        <w:trPr>
          <w:trHeight w:val="273"/>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2</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0 pkt.</w:t>
            </w:r>
          </w:p>
        </w:tc>
      </w:tr>
    </w:tbl>
    <w:p w:rsidR="001F7468" w:rsidRDefault="001F7468" w:rsidP="001F7468">
      <w:pPr>
        <w:spacing w:after="0" w:line="240" w:lineRule="auto"/>
        <w:ind w:left="1108"/>
        <w:jc w:val="both"/>
        <w:rPr>
          <w:rFonts w:asciiTheme="minorHAnsi" w:eastAsia="Calibri" w:hAnsiTheme="minorHAnsi" w:cstheme="minorHAnsi"/>
          <w:color w:val="auto"/>
          <w:sz w:val="24"/>
          <w:szCs w:val="24"/>
        </w:rPr>
      </w:pPr>
    </w:p>
    <w:p w:rsidR="001F7468" w:rsidRDefault="001F7468" w:rsidP="001F7468">
      <w:pPr>
        <w:numPr>
          <w:ilvl w:val="0"/>
          <w:numId w:val="7"/>
        </w:numPr>
        <w:spacing w:after="0" w:line="240" w:lineRule="auto"/>
        <w:ind w:hanging="115"/>
        <w:jc w:val="both"/>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frekwencja</w:t>
      </w:r>
    </w:p>
    <w:p w:rsidR="001F7468" w:rsidRDefault="001F7468" w:rsidP="001F7468">
      <w:pPr>
        <w:spacing w:after="0" w:line="240" w:lineRule="auto"/>
        <w:ind w:left="1108"/>
        <w:jc w:val="both"/>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212"/>
      </w:tblGrid>
      <w:tr w:rsidR="001F7468" w:rsidRPr="001E6345" w:rsidTr="00CD5911">
        <w:trPr>
          <w:trHeight w:val="160"/>
          <w:jc w:val="center"/>
        </w:trPr>
        <w:tc>
          <w:tcPr>
            <w:tcW w:w="3446"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Pr>
                <w:rFonts w:asciiTheme="minorHAnsi" w:eastAsia="Calibri" w:hAnsiTheme="minorHAnsi" w:cstheme="minorHAnsi"/>
                <w:b/>
                <w:bCs/>
                <w:color w:val="auto"/>
                <w:sz w:val="24"/>
                <w:szCs w:val="24"/>
              </w:rPr>
              <w:t>Frekwencja</w:t>
            </w:r>
          </w:p>
        </w:tc>
        <w:tc>
          <w:tcPr>
            <w:tcW w:w="2212"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Liczba punktów</w:t>
            </w:r>
          </w:p>
        </w:tc>
      </w:tr>
      <w:tr w:rsidR="001F7468" w:rsidRPr="0042410E" w:rsidTr="00CD5911">
        <w:trPr>
          <w:trHeight w:val="273"/>
          <w:jc w:val="center"/>
        </w:trPr>
        <w:tc>
          <w:tcPr>
            <w:tcW w:w="3446" w:type="dxa"/>
            <w:vAlign w:val="center"/>
          </w:tcPr>
          <w:p w:rsidR="001F7468" w:rsidRPr="001E6345" w:rsidRDefault="001F7468" w:rsidP="00CD5911">
            <w:pPr>
              <w:spacing w:after="0" w:line="360" w:lineRule="auto"/>
              <w:jc w:val="center"/>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100% - 95%</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20 pkt.</w:t>
            </w:r>
          </w:p>
        </w:tc>
      </w:tr>
      <w:tr w:rsidR="001F7468" w:rsidRPr="0042410E" w:rsidTr="00CD5911">
        <w:trPr>
          <w:trHeight w:val="258"/>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94% - 90%</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15 pkt.</w:t>
            </w:r>
          </w:p>
        </w:tc>
      </w:tr>
      <w:tr w:rsidR="001F7468" w:rsidRPr="0042410E" w:rsidTr="00CD5911">
        <w:trPr>
          <w:trHeight w:val="273"/>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89% -85%</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10 pkt.</w:t>
            </w:r>
          </w:p>
        </w:tc>
      </w:tr>
      <w:tr w:rsidR="001F7468" w:rsidRPr="0042410E" w:rsidTr="00CD5911">
        <w:trPr>
          <w:trHeight w:val="258"/>
          <w:jc w:val="center"/>
        </w:trPr>
        <w:tc>
          <w:tcPr>
            <w:tcW w:w="344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84% - 80%</w:t>
            </w:r>
          </w:p>
        </w:tc>
        <w:tc>
          <w:tcPr>
            <w:tcW w:w="2212" w:type="dxa"/>
            <w:vAlign w:val="center"/>
          </w:tcPr>
          <w:p w:rsidR="001F7468" w:rsidRPr="006E00A9" w:rsidRDefault="001F7468" w:rsidP="00CD5911">
            <w:pPr>
              <w:spacing w:after="0" w:line="276" w:lineRule="auto"/>
              <w:jc w:val="center"/>
              <w:rPr>
                <w:rFonts w:asciiTheme="minorHAnsi" w:eastAsia="Calibri" w:hAnsiTheme="minorHAnsi" w:cstheme="minorHAnsi"/>
                <w:color w:val="auto"/>
                <w:sz w:val="24"/>
                <w:szCs w:val="24"/>
              </w:rPr>
            </w:pPr>
            <w:r w:rsidRPr="006E00A9">
              <w:rPr>
                <w:rFonts w:asciiTheme="minorHAnsi" w:eastAsia="Calibri" w:hAnsiTheme="minorHAnsi" w:cstheme="minorHAnsi"/>
                <w:color w:val="auto"/>
                <w:sz w:val="24"/>
                <w:szCs w:val="24"/>
              </w:rPr>
              <w:t>5 pkt.</w:t>
            </w:r>
          </w:p>
        </w:tc>
      </w:tr>
    </w:tbl>
    <w:p w:rsidR="001F7468" w:rsidRDefault="001F7468" w:rsidP="001F7468">
      <w:pPr>
        <w:spacing w:after="0" w:line="240" w:lineRule="auto"/>
        <w:ind w:left="1108"/>
        <w:jc w:val="both"/>
        <w:rPr>
          <w:rFonts w:asciiTheme="minorHAnsi" w:eastAsia="Calibri" w:hAnsiTheme="minorHAnsi" w:cstheme="minorHAnsi"/>
          <w:color w:val="auto"/>
          <w:sz w:val="24"/>
          <w:szCs w:val="24"/>
        </w:rPr>
      </w:pPr>
    </w:p>
    <w:p w:rsidR="001F7468" w:rsidRPr="00A07BDD" w:rsidRDefault="001F7468" w:rsidP="001F7468">
      <w:pPr>
        <w:numPr>
          <w:ilvl w:val="0"/>
          <w:numId w:val="7"/>
        </w:numPr>
        <w:spacing w:after="0" w:line="240" w:lineRule="auto"/>
        <w:ind w:hanging="115"/>
        <w:jc w:val="both"/>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lastRenderedPageBreak/>
        <w:t xml:space="preserve">laureaci konkursów przedmiotowych, </w:t>
      </w:r>
      <w:r w:rsidRPr="00A85A17">
        <w:rPr>
          <w:rFonts w:asciiTheme="minorHAnsi" w:eastAsia="Calibri" w:hAnsiTheme="minorHAnsi" w:cstheme="minorHAnsi"/>
          <w:color w:val="auto"/>
          <w:sz w:val="24"/>
          <w:szCs w:val="24"/>
        </w:rPr>
        <w:t xml:space="preserve">zawodowych, zawodów sportowych </w:t>
      </w:r>
      <w:r w:rsidRPr="00A85A17">
        <w:rPr>
          <w:rFonts w:asciiTheme="minorHAnsi" w:eastAsia="Calibri" w:hAnsiTheme="minorHAnsi" w:cstheme="minorHAnsi"/>
          <w:bCs/>
          <w:color w:val="auto"/>
          <w:sz w:val="24"/>
          <w:szCs w:val="24"/>
        </w:rPr>
        <w:t>[max. 20 pkt.]</w:t>
      </w:r>
      <w:r>
        <w:rPr>
          <w:rFonts w:asciiTheme="minorHAnsi" w:eastAsia="Calibri" w:hAnsiTheme="minorHAnsi" w:cstheme="minorHAnsi"/>
          <w:bCs/>
          <w:color w:val="auto"/>
          <w:sz w:val="24"/>
          <w:szCs w:val="24"/>
        </w:rPr>
        <w:t xml:space="preserve"> (kserokopie dyplomów i zaświadczeń)</w:t>
      </w:r>
      <w:r w:rsidRPr="00A85A17">
        <w:rPr>
          <w:rFonts w:asciiTheme="minorHAnsi" w:eastAsia="Calibri" w:hAnsiTheme="minorHAnsi" w:cstheme="minorHAnsi"/>
          <w:bCs/>
          <w:color w:val="auto"/>
          <w:sz w:val="24"/>
          <w:szCs w:val="24"/>
        </w:rPr>
        <w:t>:</w:t>
      </w:r>
    </w:p>
    <w:p w:rsidR="001F7468" w:rsidRPr="008D64DC" w:rsidRDefault="001F7468" w:rsidP="001F7468">
      <w:pPr>
        <w:spacing w:after="0" w:line="240" w:lineRule="auto"/>
        <w:ind w:left="1108"/>
        <w:jc w:val="both"/>
        <w:rPr>
          <w:rFonts w:asciiTheme="minorHAnsi" w:eastAsia="Calibri" w:hAnsiTheme="minorHAnsi" w:cstheme="minorHAnsi"/>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6"/>
        <w:gridCol w:w="2160"/>
      </w:tblGrid>
      <w:tr w:rsidR="001F7468" w:rsidRPr="001E6345" w:rsidTr="00CD5911">
        <w:trPr>
          <w:jc w:val="center"/>
        </w:trPr>
        <w:tc>
          <w:tcPr>
            <w:tcW w:w="3526"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Konkurs/olimpiada</w:t>
            </w:r>
          </w:p>
        </w:tc>
        <w:tc>
          <w:tcPr>
            <w:tcW w:w="2160" w:type="dxa"/>
            <w:shd w:val="clear" w:color="auto" w:fill="E6E6E6"/>
            <w:vAlign w:val="center"/>
          </w:tcPr>
          <w:p w:rsidR="001F7468" w:rsidRPr="001E6345" w:rsidRDefault="001F7468" w:rsidP="00CD5911">
            <w:pPr>
              <w:spacing w:after="0" w:line="276" w:lineRule="auto"/>
              <w:jc w:val="center"/>
              <w:rPr>
                <w:rFonts w:asciiTheme="minorHAnsi" w:eastAsia="Calibri" w:hAnsiTheme="minorHAnsi" w:cstheme="minorHAnsi"/>
                <w:b/>
                <w:bCs/>
                <w:color w:val="auto"/>
                <w:sz w:val="24"/>
                <w:szCs w:val="24"/>
              </w:rPr>
            </w:pPr>
            <w:r w:rsidRPr="001E6345">
              <w:rPr>
                <w:rFonts w:asciiTheme="minorHAnsi" w:eastAsia="Calibri" w:hAnsiTheme="minorHAnsi" w:cstheme="minorHAnsi"/>
                <w:b/>
                <w:bCs/>
                <w:color w:val="auto"/>
                <w:sz w:val="24"/>
                <w:szCs w:val="24"/>
              </w:rPr>
              <w:t>Liczba punktów</w:t>
            </w:r>
          </w:p>
        </w:tc>
      </w:tr>
      <w:tr w:rsidR="001F7468" w:rsidRPr="001E6345" w:rsidTr="00CD5911">
        <w:trPr>
          <w:jc w:val="center"/>
        </w:trPr>
        <w:tc>
          <w:tcPr>
            <w:tcW w:w="352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Laureat poz. centralnego</w:t>
            </w:r>
          </w:p>
        </w:tc>
        <w:tc>
          <w:tcPr>
            <w:tcW w:w="2160"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20 pkt.</w:t>
            </w:r>
          </w:p>
        </w:tc>
      </w:tr>
      <w:tr w:rsidR="001F7468" w:rsidRPr="001E6345" w:rsidTr="00CD5911">
        <w:trPr>
          <w:jc w:val="center"/>
        </w:trPr>
        <w:tc>
          <w:tcPr>
            <w:tcW w:w="352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Laureat poz. woj./</w:t>
            </w:r>
            <w:proofErr w:type="spellStart"/>
            <w:r w:rsidRPr="001E6345">
              <w:rPr>
                <w:rFonts w:asciiTheme="minorHAnsi" w:eastAsia="Calibri" w:hAnsiTheme="minorHAnsi" w:cstheme="minorHAnsi"/>
                <w:color w:val="auto"/>
                <w:sz w:val="24"/>
                <w:szCs w:val="24"/>
              </w:rPr>
              <w:t>reg</w:t>
            </w:r>
            <w:proofErr w:type="spellEnd"/>
          </w:p>
        </w:tc>
        <w:tc>
          <w:tcPr>
            <w:tcW w:w="2160"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15 pkt.</w:t>
            </w:r>
          </w:p>
        </w:tc>
      </w:tr>
      <w:tr w:rsidR="001F7468" w:rsidRPr="001E6345" w:rsidTr="00CD5911">
        <w:trPr>
          <w:jc w:val="center"/>
        </w:trPr>
        <w:tc>
          <w:tcPr>
            <w:tcW w:w="352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Laureat poz. powiatowego</w:t>
            </w:r>
            <w:r w:rsidRPr="001E6345">
              <w:rPr>
                <w:rFonts w:asciiTheme="minorHAnsi" w:eastAsia="Calibri" w:hAnsiTheme="minorHAnsi" w:cstheme="minorHAnsi"/>
                <w:bCs/>
                <w:color w:val="auto"/>
                <w:sz w:val="24"/>
                <w:szCs w:val="24"/>
              </w:rPr>
              <w:t xml:space="preserve"> </w:t>
            </w:r>
          </w:p>
        </w:tc>
        <w:tc>
          <w:tcPr>
            <w:tcW w:w="2160"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bCs/>
                <w:color w:val="auto"/>
                <w:sz w:val="24"/>
                <w:szCs w:val="24"/>
              </w:rPr>
              <w:t>10 pkt.</w:t>
            </w:r>
          </w:p>
        </w:tc>
      </w:tr>
      <w:tr w:rsidR="001F7468" w:rsidRPr="001E6345" w:rsidTr="00CD5911">
        <w:trPr>
          <w:jc w:val="center"/>
        </w:trPr>
        <w:tc>
          <w:tcPr>
            <w:tcW w:w="3526"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bCs/>
                <w:color w:val="auto"/>
                <w:sz w:val="24"/>
                <w:szCs w:val="24"/>
              </w:rPr>
              <w:t>Członkowie kół naukowych</w:t>
            </w:r>
          </w:p>
        </w:tc>
        <w:tc>
          <w:tcPr>
            <w:tcW w:w="2160" w:type="dxa"/>
            <w:vAlign w:val="center"/>
          </w:tcPr>
          <w:p w:rsidR="001F7468" w:rsidRPr="001E6345" w:rsidRDefault="001F7468" w:rsidP="00CD5911">
            <w:pPr>
              <w:spacing w:after="0" w:line="276" w:lineRule="auto"/>
              <w:jc w:val="center"/>
              <w:rPr>
                <w:rFonts w:asciiTheme="minorHAnsi" w:eastAsia="Calibri" w:hAnsiTheme="minorHAnsi" w:cstheme="minorHAnsi"/>
                <w:color w:val="auto"/>
                <w:sz w:val="24"/>
                <w:szCs w:val="24"/>
              </w:rPr>
            </w:pPr>
            <w:r w:rsidRPr="001E6345">
              <w:rPr>
                <w:rFonts w:asciiTheme="minorHAnsi" w:eastAsia="Calibri" w:hAnsiTheme="minorHAnsi" w:cstheme="minorHAnsi"/>
                <w:color w:val="auto"/>
                <w:sz w:val="24"/>
                <w:szCs w:val="24"/>
              </w:rPr>
              <w:t>5 pkt.</w:t>
            </w:r>
          </w:p>
        </w:tc>
      </w:tr>
    </w:tbl>
    <w:p w:rsidR="001F7468" w:rsidRPr="00CD01CD" w:rsidRDefault="001F7468" w:rsidP="001F7468">
      <w:pPr>
        <w:spacing w:after="0" w:line="276" w:lineRule="auto"/>
        <w:jc w:val="both"/>
        <w:rPr>
          <w:rFonts w:asciiTheme="minorHAnsi" w:eastAsia="Times New Roman" w:hAnsiTheme="minorHAnsi" w:cstheme="minorHAnsi"/>
          <w:color w:val="auto"/>
          <w:sz w:val="24"/>
          <w:szCs w:val="24"/>
        </w:rPr>
      </w:pPr>
    </w:p>
    <w:p w:rsidR="001F7468" w:rsidRDefault="001F7468"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ab/>
        <w:t xml:space="preserve">f)  działalność społeczna (np. wolontariat, samorząd uczniowski, organizacje   </w:t>
      </w:r>
      <w:r>
        <w:rPr>
          <w:rFonts w:asciiTheme="minorHAnsi" w:eastAsia="Times New Roman" w:hAnsiTheme="minorHAnsi" w:cstheme="minorHAnsi"/>
          <w:color w:val="auto"/>
          <w:sz w:val="24"/>
          <w:szCs w:val="24"/>
        </w:rPr>
        <w:tab/>
        <w:t>społeczne, udział w projektach realizowanych przez szkołę [max. 10 pkt.]</w:t>
      </w:r>
    </w:p>
    <w:p w:rsidR="003966A4" w:rsidRDefault="003966A4"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w:t>
      </w:r>
    </w:p>
    <w:p w:rsidR="003966A4" w:rsidRDefault="003966A4"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g)   wyrównywanie szans i przeciwdziałanie wykluczeniu ze względu na płeć.</w:t>
      </w:r>
    </w:p>
    <w:p w:rsidR="003966A4" w:rsidRDefault="003966A4"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W trosce o równość szans i zgodnie z priorytetami programu Erasmus+</w:t>
      </w:r>
      <w:r w:rsidR="00A60FAF">
        <w:rPr>
          <w:rFonts w:asciiTheme="minorHAnsi" w:eastAsia="Times New Roman" w:hAnsiTheme="minorHAnsi" w:cstheme="minorHAnsi"/>
          <w:color w:val="auto"/>
          <w:sz w:val="24"/>
          <w:szCs w:val="24"/>
        </w:rPr>
        <w:t xml:space="preserve">, </w:t>
      </w:r>
      <w:r w:rsidR="00A60FAF">
        <w:rPr>
          <w:rFonts w:asciiTheme="minorHAnsi" w:eastAsia="Times New Roman" w:hAnsiTheme="minorHAnsi" w:cstheme="minorHAnsi"/>
          <w:color w:val="auto"/>
          <w:sz w:val="24"/>
          <w:szCs w:val="24"/>
        </w:rPr>
        <w:br/>
        <w:t xml:space="preserve">                         w procesie rekrutacji dodatkowe 2 pkt mogą zostać przyznane uczennicom w     </w:t>
      </w:r>
      <w:r w:rsidR="00A60FAF">
        <w:rPr>
          <w:rFonts w:asciiTheme="minorHAnsi" w:eastAsia="Times New Roman" w:hAnsiTheme="minorHAnsi" w:cstheme="minorHAnsi"/>
          <w:color w:val="auto"/>
          <w:sz w:val="24"/>
          <w:szCs w:val="24"/>
        </w:rPr>
        <w:tab/>
        <w:t xml:space="preserve">     celu:</w:t>
      </w:r>
    </w:p>
    <w:p w:rsidR="00A60FAF" w:rsidRDefault="00A60FAF"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 przeciwdziałania stereotypom związanymi z rolami płci w kształceniu</w:t>
      </w:r>
    </w:p>
    <w:p w:rsidR="001F7468" w:rsidRDefault="00A60FAF"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zawodowym,</w:t>
      </w:r>
    </w:p>
    <w:p w:rsidR="00A60FAF" w:rsidRPr="00CD01CD" w:rsidRDefault="00A60FAF" w:rsidP="001F7468">
      <w:pPr>
        <w:tabs>
          <w:tab w:val="left" w:pos="1080"/>
        </w:tabs>
        <w:spacing w:after="0" w:line="276" w:lineRule="auto"/>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 zwiększenia udziału dziewcząt i kobiet w zagranicznych mobilnościach</w:t>
      </w:r>
    </w:p>
    <w:p w:rsidR="001F7468" w:rsidRDefault="00A60FAF" w:rsidP="001F7468">
      <w:pPr>
        <w:rPr>
          <w:color w:val="auto"/>
        </w:rPr>
      </w:pPr>
      <w:r w:rsidRPr="00A60FAF">
        <w:rPr>
          <w:color w:val="auto"/>
        </w:rPr>
        <w:t xml:space="preserve">     </w:t>
      </w:r>
      <w:r>
        <w:rPr>
          <w:color w:val="auto"/>
        </w:rPr>
        <w:t xml:space="preserve">                              edukacyjnych,</w:t>
      </w:r>
    </w:p>
    <w:p w:rsidR="00A60FAF" w:rsidRDefault="00A60FAF" w:rsidP="001F7468">
      <w:pPr>
        <w:rPr>
          <w:color w:val="auto"/>
        </w:rPr>
      </w:pPr>
      <w:r>
        <w:rPr>
          <w:color w:val="auto"/>
        </w:rPr>
        <w:t xml:space="preserve">                      h)   </w:t>
      </w:r>
      <w:r w:rsidR="000D6C3B">
        <w:rPr>
          <w:color w:val="auto"/>
        </w:rPr>
        <w:t>k</w:t>
      </w:r>
      <w:r>
        <w:rPr>
          <w:color w:val="auto"/>
        </w:rPr>
        <w:t>ryterium „Włączenie i różnorodność”</w:t>
      </w:r>
    </w:p>
    <w:p w:rsidR="000D6C3B" w:rsidRDefault="00A60FAF" w:rsidP="001F7468">
      <w:pPr>
        <w:rPr>
          <w:color w:val="auto"/>
        </w:rPr>
      </w:pPr>
      <w:r>
        <w:rPr>
          <w:color w:val="auto"/>
        </w:rPr>
        <w:t xml:space="preserve">                            W procesie rekrutacji uwzględnia się</w:t>
      </w:r>
      <w:r w:rsidR="000D6C3B">
        <w:rPr>
          <w:color w:val="auto"/>
        </w:rPr>
        <w:t xml:space="preserve"> kryterium  „Włączenie i różnorodność”,   zgodnie  </w:t>
      </w:r>
      <w:r w:rsidR="000D6C3B">
        <w:rPr>
          <w:color w:val="auto"/>
        </w:rPr>
        <w:tab/>
        <w:t xml:space="preserve">              z zasadami   programu „Erasmus+” , którego celem jest zapewnienie równego  </w:t>
      </w:r>
      <w:r w:rsidR="000D6C3B">
        <w:rPr>
          <w:color w:val="auto"/>
        </w:rPr>
        <w:tab/>
        <w:t xml:space="preserve"> </w:t>
      </w:r>
      <w:r w:rsidR="000D6C3B">
        <w:rPr>
          <w:color w:val="auto"/>
        </w:rPr>
        <w:tab/>
        <w:t xml:space="preserve">              dostępu do mobilności osobom z mniejszymi szansami.</w:t>
      </w:r>
    </w:p>
    <w:p w:rsidR="000D6C3B" w:rsidRDefault="000D6C3B" w:rsidP="001F7468">
      <w:pPr>
        <w:rPr>
          <w:color w:val="auto"/>
        </w:rPr>
      </w:pPr>
      <w:r>
        <w:rPr>
          <w:color w:val="auto"/>
        </w:rPr>
        <w:t xml:space="preserve">                            Kandydat może otrzymać do 2 punktów dodatkowych za spełnienie co najmniej  </w:t>
      </w:r>
      <w:r>
        <w:rPr>
          <w:color w:val="auto"/>
        </w:rPr>
        <w:tab/>
        <w:t xml:space="preserve">              jednego z poniższych warunków:</w:t>
      </w:r>
    </w:p>
    <w:p w:rsidR="000D6C3B" w:rsidRDefault="000D6C3B" w:rsidP="001F7468">
      <w:pPr>
        <w:rPr>
          <w:color w:val="auto"/>
        </w:rPr>
      </w:pPr>
      <w:r>
        <w:rPr>
          <w:color w:val="auto"/>
        </w:rPr>
        <w:t xml:space="preserve">                                - niepełnosprawność lub specjalne potrzeby edukacyjne – 2 pkt,                                </w:t>
      </w:r>
      <w:r>
        <w:rPr>
          <w:color w:val="auto"/>
        </w:rPr>
        <w:tab/>
        <w:t xml:space="preserve">                  - trudna sytuacja ekonomiczna </w:t>
      </w:r>
      <w:r w:rsidR="001936F6">
        <w:rPr>
          <w:color w:val="auto"/>
        </w:rPr>
        <w:t xml:space="preserve">lub społeczna -1 pkt,                                              </w:t>
      </w:r>
      <w:r w:rsidR="001936F6">
        <w:rPr>
          <w:color w:val="auto"/>
        </w:rPr>
        <w:tab/>
        <w:t xml:space="preserve">                  - pochodzenie ze środowisk  migracyjnych – 1pkt, </w:t>
      </w:r>
      <w:r w:rsidR="001936F6">
        <w:rPr>
          <w:color w:val="auto"/>
        </w:rPr>
        <w:tab/>
        <w:t xml:space="preserve">                                                      </w:t>
      </w:r>
      <w:r w:rsidR="001936F6">
        <w:rPr>
          <w:color w:val="auto"/>
        </w:rPr>
        <w:tab/>
        <w:t xml:space="preserve">                  - szczególna sytuacja rodzinna (np. </w:t>
      </w:r>
      <w:r w:rsidR="000C2E15">
        <w:rPr>
          <w:color w:val="auto"/>
        </w:rPr>
        <w:t xml:space="preserve">rodzina wielodzietna, opieka nad osobą zależną)  </w:t>
      </w:r>
      <w:r w:rsidR="000C2E15">
        <w:rPr>
          <w:color w:val="auto"/>
        </w:rPr>
        <w:tab/>
        <w:t xml:space="preserve">                  - 1 pkt</w:t>
      </w:r>
    </w:p>
    <w:p w:rsidR="000C2E15" w:rsidRDefault="000C2E15" w:rsidP="000C2E15">
      <w:pPr>
        <w:ind w:left="708" w:firstLine="732"/>
        <w:rPr>
          <w:color w:val="auto"/>
        </w:rPr>
      </w:pPr>
      <w:r>
        <w:rPr>
          <w:color w:val="auto"/>
        </w:rPr>
        <w:t xml:space="preserve">Punkty w ramach tego kryterium nie sumują się. Przyznaje się jedną najwyższą </w:t>
      </w:r>
      <w:r>
        <w:rPr>
          <w:color w:val="auto"/>
        </w:rPr>
        <w:tab/>
        <w:t xml:space="preserve">        </w:t>
      </w:r>
      <w:r>
        <w:rPr>
          <w:color w:val="auto"/>
        </w:rPr>
        <w:tab/>
        <w:t xml:space="preserve">możliwą liczbę punktów na podstawie przedłożonych dokumentów poświadczających  </w:t>
      </w:r>
      <w:r>
        <w:rPr>
          <w:color w:val="auto"/>
        </w:rPr>
        <w:tab/>
        <w:t xml:space="preserve">występowanie danego warunku. Dokumenty te należy okazać do wglądu podczas </w:t>
      </w:r>
      <w:r>
        <w:rPr>
          <w:color w:val="auto"/>
        </w:rPr>
        <w:tab/>
        <w:t>składania formularza zgłoszeniowego.</w:t>
      </w:r>
    </w:p>
    <w:p w:rsidR="00E95BB5" w:rsidRDefault="00E95BB5" w:rsidP="000C2E15">
      <w:pPr>
        <w:ind w:left="708" w:firstLine="732"/>
        <w:rPr>
          <w:color w:val="auto"/>
        </w:rPr>
      </w:pPr>
    </w:p>
    <w:p w:rsidR="00E95BB5" w:rsidRDefault="00E95BB5" w:rsidP="000C2E15">
      <w:pPr>
        <w:ind w:left="708" w:firstLine="732"/>
        <w:rPr>
          <w:color w:val="auto"/>
        </w:rPr>
      </w:pPr>
      <w:r>
        <w:rPr>
          <w:color w:val="auto"/>
        </w:rPr>
        <w:t xml:space="preserve"> W rekrutacji pierwszeństwo mają uczniowie, którzy w roku szkolnym 2025/2026 nie  </w:t>
      </w:r>
      <w:r>
        <w:rPr>
          <w:color w:val="auto"/>
        </w:rPr>
        <w:tab/>
        <w:t xml:space="preserve"> brali udziału w projektach Erasmus+.</w:t>
      </w:r>
    </w:p>
    <w:p w:rsidR="00A60FAF" w:rsidRDefault="000D6C3B" w:rsidP="001F7468">
      <w:pPr>
        <w:rPr>
          <w:color w:val="auto"/>
        </w:rPr>
      </w:pPr>
      <w:r>
        <w:rPr>
          <w:color w:val="auto"/>
        </w:rPr>
        <w:t xml:space="preserve">                                                                                 </w:t>
      </w:r>
    </w:p>
    <w:p w:rsidR="00A60FAF" w:rsidRPr="00A60FAF" w:rsidRDefault="00A60FAF" w:rsidP="001F7468">
      <w:pPr>
        <w:rPr>
          <w:color w:val="auto"/>
        </w:rPr>
      </w:pPr>
      <w:r>
        <w:rPr>
          <w:color w:val="auto"/>
        </w:rPr>
        <w:t xml:space="preserve">                           </w:t>
      </w:r>
    </w:p>
    <w:p w:rsidR="00125FA6" w:rsidRPr="006D6DD8" w:rsidRDefault="00125FA6">
      <w:pPr>
        <w:rPr>
          <w:rFonts w:asciiTheme="minorHAnsi" w:hAnsiTheme="minorHAnsi" w:cstheme="minorHAnsi"/>
          <w:color w:val="auto"/>
        </w:rPr>
      </w:pPr>
    </w:p>
    <w:p w:rsidR="0089413B" w:rsidRPr="006D6DD8" w:rsidRDefault="00125FA6">
      <w:pPr>
        <w:rPr>
          <w:rFonts w:asciiTheme="minorHAnsi" w:hAnsiTheme="minorHAnsi" w:cstheme="minorHAnsi"/>
          <w:color w:val="auto"/>
          <w:sz w:val="19"/>
          <w:szCs w:val="19"/>
        </w:rPr>
      </w:pPr>
      <w:r w:rsidRPr="006D6DD8">
        <w:rPr>
          <w:rFonts w:asciiTheme="minorHAnsi" w:hAnsiTheme="minorHAnsi" w:cstheme="minorHAnsi"/>
          <w:color w:val="auto"/>
          <w:sz w:val="19"/>
          <w:szCs w:val="19"/>
        </w:rPr>
        <w:t xml:space="preserve">Uwagi: Definicje </w:t>
      </w:r>
      <w:proofErr w:type="spellStart"/>
      <w:r w:rsidRPr="006D6DD8">
        <w:rPr>
          <w:rFonts w:asciiTheme="minorHAnsi" w:hAnsiTheme="minorHAnsi" w:cstheme="minorHAnsi"/>
          <w:color w:val="auto"/>
          <w:sz w:val="19"/>
          <w:szCs w:val="19"/>
        </w:rPr>
        <w:t>wykluczeń</w:t>
      </w:r>
      <w:proofErr w:type="spellEnd"/>
      <w:r w:rsidRPr="006D6DD8">
        <w:rPr>
          <w:rFonts w:asciiTheme="minorHAnsi" w:hAnsiTheme="minorHAnsi" w:cstheme="minorHAnsi"/>
          <w:color w:val="auto"/>
          <w:sz w:val="19"/>
          <w:szCs w:val="19"/>
        </w:rPr>
        <w:t xml:space="preserve"> </w:t>
      </w:r>
      <w:r w:rsidR="009439E9">
        <w:rPr>
          <w:rFonts w:asciiTheme="minorHAnsi" w:hAnsiTheme="minorHAnsi" w:cstheme="minorHAnsi"/>
          <w:color w:val="auto"/>
          <w:sz w:val="19"/>
          <w:szCs w:val="19"/>
        </w:rPr>
        <w:t>projektu</w:t>
      </w:r>
      <w:r w:rsidRPr="006D6DD8">
        <w:rPr>
          <w:rFonts w:asciiTheme="minorHAnsi" w:hAnsiTheme="minorHAnsi" w:cstheme="minorHAnsi"/>
          <w:color w:val="auto"/>
          <w:sz w:val="19"/>
          <w:szCs w:val="19"/>
        </w:rPr>
        <w:t xml:space="preserve"> Erasmus+</w:t>
      </w:r>
      <w:bookmarkStart w:id="0" w:name="_GoBack"/>
      <w:bookmarkEnd w:id="0"/>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1. Niepełnosprawność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Obejmuje naruszoną sprawność fizyczną, psychiczną, intelektualną lub w zakresie zmysłów, co może,</w:t>
      </w:r>
      <w:r w:rsidR="006D6DD8" w:rsidRPr="006D6DD8">
        <w:rPr>
          <w:rFonts w:ascii="Segoe UI" w:eastAsia="Times New Roman" w:hAnsi="Segoe UI" w:cs="Segoe UI"/>
          <w:color w:val="auto"/>
          <w:sz w:val="19"/>
          <w:szCs w:val="19"/>
          <w:lang w:eastAsia="pl-PL"/>
        </w:rPr>
        <w:br/>
      </w:r>
      <w:r w:rsidRPr="00125FA6">
        <w:rPr>
          <w:rFonts w:ascii="Segoe UI" w:eastAsia="Times New Roman" w:hAnsi="Segoe UI" w:cs="Segoe UI"/>
          <w:color w:val="auto"/>
          <w:sz w:val="19"/>
          <w:szCs w:val="19"/>
          <w:lang w:eastAsia="pl-PL"/>
        </w:rPr>
        <w:t xml:space="preserve"> w zetknięciu z różnymi barierami, utrudniać im pełny i skuteczny udział w życiu społecznym na równi</w:t>
      </w:r>
      <w:r w:rsidR="006D6DD8" w:rsidRPr="006D6DD8">
        <w:rPr>
          <w:rFonts w:ascii="Segoe UI" w:eastAsia="Times New Roman" w:hAnsi="Segoe UI" w:cs="Segoe UI"/>
          <w:color w:val="auto"/>
          <w:sz w:val="19"/>
          <w:szCs w:val="19"/>
          <w:lang w:eastAsia="pl-PL"/>
        </w:rPr>
        <w:br/>
      </w:r>
      <w:r w:rsidRPr="00125FA6">
        <w:rPr>
          <w:rFonts w:ascii="Segoe UI" w:eastAsia="Times New Roman" w:hAnsi="Segoe UI" w:cs="Segoe UI"/>
          <w:color w:val="auto"/>
          <w:sz w:val="19"/>
          <w:szCs w:val="19"/>
          <w:lang w:eastAsia="pl-PL"/>
        </w:rPr>
        <w:t xml:space="preserve"> z innymi osobami.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2. Problemy zdrowotne</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Bariery mogą wynikać z problemów zdrowotnych, takich jak poważne choroby, choroby przewlekłe lub wszelkie inne sytuacje związane ze zdrowiem fizycznym lub psychicznym, które uniemożliwiają uczestnictwo w programach.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3.Bariery związane z systemami kształcenia i szkolenia.</w:t>
      </w:r>
    </w:p>
    <w:p w:rsidR="006D6DD8" w:rsidRPr="006D6DD8"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Bariery mogą napotykać osoby osiągające z różnych powodów słabe wyniki w systemach kształcenia</w:t>
      </w:r>
    </w:p>
    <w:p w:rsidR="006D6DD8" w:rsidRPr="006D6DD8"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 xml:space="preserve"> i szkolenia, osoby wcześnie kończące naukę, młodzież NEET (młodzież niekształcąca się, niepracująca ani nieszkoląca się) oraz nisko wykwalifikowani dorośli. Mimo że inne czynniki mogą odgrywać pewną rolę,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te trudności w nauce, choć mogą być również związane z sytuacjami osobistymi, wynikają głównie z systemu edukacyjnego, który stwarza ograniczenia strukturalne lub nie uwzględnia w pełni szczególnych potrzeb poszczególnych osób. Osoby fizyczne mogą również napotykać bariery w uczestnictwie, gdy struktura programów nauczania utrudnia mobilność edukacyjną lub szkoleniową za granicą w ramach studiów.</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4. Różnice kulturowe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Chociaż różnice kulturowe mogą być postrzegane jako bariery przez osoby z różnych środowisk, mogą one szczególnie dotykać osoby o mniejszych szansach. Takie różnice mogą stanowić istotne bariery w ogólnym uczeniu się, zwłaszcza dla osób ze środowisk migracyjnych lub uchodźczych – w szczególności nowo przybyłych migrantów – osób należących do mniejszości narodowych lub etnicznych, użytkowników języka migowego, osób mających trudności z adaptacją językową i integracją kulturową itp. Zetknięcie się z językami obcymi i różnicami kulturowymi podczas uczestnictwa w różnego rodzaju działaniach w ramach programu może zniechęcać te osoby i w pewien sposób ograniczać korzyści z uczestnictwa. Takie różnice kulturowe mogą nawet powstrzymywać potencjalnych uczestników przed ubieganiem się o wsparcie w ramach programów, stanowiąc tym samym przeszkodę w ich uczestnictwie.</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5. Bariery społeczne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Barierę mogą stanowić trudności w przystosowaniu społecznym, takie jak ograniczone kompetencje społeczne, zachowania antyspołeczne lub wysokiego ryzyka, bycie (byłym) przestępcą, osobą nadużywającą (w przeszłości) środków odurzających lub alkoholu lub marginalizacja społeczna. Inne bariery społeczne mogą wynikać z sytuacji rodzinnej, z bycia rodzicem (zwłaszcza osobą samotnie wychowującą dzieci), opiekunem, żywicielem rodziny, sierotą lub z mieszkania w przeszłości lub obecnie w placówce opiekuńczej.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6. Bariery ekonomiczne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Barierę może stanowić niekorzystna sytuacja ekonomiczna, taka jak niski poziom życia, niskie dochody, bycie osobą uczącą się, która musi pracować, aby się utrzymać, zależność od systemu opieki społecznej, długotrwałe bezrobocie, niepewna sytuacja lub ubóstwo, bezdomność, zadłużenie lub problemy finansowe itp.  Inne trudności mogą wynikać z ograniczonej możliwości przenoszenia usług (w szczególności wsparcia dla osób o mniejszych szansach), które muszą być „mobilne” wraz z uczestnikami, gdy wyjeżdżają oni w odległe miejsce, a w szczególności za granicę.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7. Bariery związane z dyskryminacją</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Bariery mogą występować wskutek dyskryminacji związanej z płcią (tożsamością płciową, ekspresją płciową itp.), wiekiem, pochodzeniem etnicznym, religią, przekonaniami, orientacją seksualną, niepełnosprawnością lub dyskryminacji wynikającej z wielu przyczyn (połączenie jednej lub kilku wspomnianych barier związanych z dyskryminacją).  </w:t>
      </w:r>
    </w:p>
    <w:p w:rsidR="00125FA6" w:rsidRPr="00125FA6" w:rsidRDefault="00125FA6" w:rsidP="00125FA6">
      <w:pPr>
        <w:shd w:val="clear" w:color="auto" w:fill="FFFFFF"/>
        <w:spacing w:after="0" w:line="240" w:lineRule="auto"/>
        <w:rPr>
          <w:rFonts w:ascii="Segoe UI" w:eastAsia="Times New Roman" w:hAnsi="Segoe UI" w:cs="Segoe UI"/>
          <w:color w:val="auto"/>
          <w:sz w:val="19"/>
          <w:szCs w:val="19"/>
          <w:lang w:eastAsia="pl-PL"/>
        </w:rPr>
      </w:pPr>
      <w:r w:rsidRPr="00125FA6">
        <w:rPr>
          <w:rFonts w:ascii="Segoe UI" w:eastAsia="Times New Roman" w:hAnsi="Segoe UI" w:cs="Segoe UI"/>
          <w:color w:val="auto"/>
          <w:sz w:val="19"/>
          <w:szCs w:val="19"/>
          <w:lang w:eastAsia="pl-PL"/>
        </w:rPr>
        <w:t>8. Bariery geograficzne Barierę może stanowić mieszkanie w regionach oddalonych, na obszarach wiejskich, na małych wyspach lub w regionach peryferyjnych/najbardziej oddalonych, na przedmieściach miast, na obszarach o słabiej rozwiniętej sieci usług (ograniczony 11 transport publiczny, słaba infrastruktura) lub słabiej rozwiniętych obszarach w państwach trzecich itp.  </w:t>
      </w:r>
    </w:p>
    <w:p w:rsidR="00125FA6" w:rsidRPr="006D6DD8" w:rsidRDefault="00125FA6">
      <w:pPr>
        <w:rPr>
          <w:color w:val="auto"/>
          <w:sz w:val="19"/>
          <w:szCs w:val="19"/>
        </w:rPr>
      </w:pPr>
    </w:p>
    <w:sectPr w:rsidR="00125FA6" w:rsidRPr="006D6D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01" w:rsidRDefault="00636301">
      <w:pPr>
        <w:spacing w:after="0" w:line="240" w:lineRule="auto"/>
      </w:pPr>
      <w:r>
        <w:separator/>
      </w:r>
    </w:p>
  </w:endnote>
  <w:endnote w:type="continuationSeparator" w:id="0">
    <w:p w:rsidR="00636301" w:rsidRDefault="0063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Segoe Print"/>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01" w:rsidRDefault="00636301">
      <w:pPr>
        <w:spacing w:after="0" w:line="240" w:lineRule="auto"/>
      </w:pPr>
      <w:r>
        <w:separator/>
      </w:r>
    </w:p>
  </w:footnote>
  <w:footnote w:type="continuationSeparator" w:id="0">
    <w:p w:rsidR="00636301" w:rsidRDefault="0063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3FB" w:rsidRDefault="001F7468">
    <w:pPr>
      <w:pStyle w:val="Nagwek"/>
    </w:pPr>
    <w:r w:rsidRPr="00E113D2">
      <w:rPr>
        <w:noProof/>
        <w:lang w:eastAsia="pl-PL"/>
      </w:rPr>
      <w:drawing>
        <wp:inline distT="0" distB="0" distL="0" distR="0" wp14:anchorId="393D1640" wp14:editId="778B65A5">
          <wp:extent cx="2067059" cy="393418"/>
          <wp:effectExtent l="0" t="0" r="0" b="6985"/>
          <wp:docPr id="4" name="Obraz 4" descr="C:\Users\biblioteka\Downloads\pl\horizontal\PNG\PL Dofinansowane przez UE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ka\Downloads\pl\horizontal\PNG\PL Dofinansowane przez UE_PAN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659" cy="4310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0E7A"/>
    <w:multiLevelType w:val="hybridMultilevel"/>
    <w:tmpl w:val="39CE2008"/>
    <w:lvl w:ilvl="0" w:tplc="600AC3DC">
      <w:start w:val="1"/>
      <w:numFmt w:val="bullet"/>
      <w:lvlText w:val=""/>
      <w:lvlJc w:val="left"/>
      <w:pPr>
        <w:ind w:left="1353"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BAA08EC"/>
    <w:multiLevelType w:val="multilevel"/>
    <w:tmpl w:val="FFC26AB8"/>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abstractNum w:abstractNumId="2" w15:restartNumberingAfterBreak="0">
    <w:nsid w:val="307A752C"/>
    <w:multiLevelType w:val="hybridMultilevel"/>
    <w:tmpl w:val="DD468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C663D5"/>
    <w:multiLevelType w:val="multilevel"/>
    <w:tmpl w:val="6DE08A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E4052"/>
    <w:multiLevelType w:val="hybridMultilevel"/>
    <w:tmpl w:val="EF08C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0747EA"/>
    <w:multiLevelType w:val="multilevel"/>
    <w:tmpl w:val="3E1E772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6" w15:restartNumberingAfterBreak="0">
    <w:nsid w:val="6E6032FC"/>
    <w:multiLevelType w:val="hybridMultilevel"/>
    <w:tmpl w:val="4C224DAC"/>
    <w:lvl w:ilvl="0" w:tplc="4588EF60">
      <w:start w:val="1"/>
      <w:numFmt w:val="lowerLetter"/>
      <w:lvlText w:val="%1)"/>
      <w:lvlJc w:val="left"/>
      <w:pPr>
        <w:ind w:left="1108" w:hanging="360"/>
      </w:pPr>
      <w:rPr>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24"/>
    <w:rsid w:val="000C2E15"/>
    <w:rsid w:val="000D6C3B"/>
    <w:rsid w:val="00125FA6"/>
    <w:rsid w:val="00160B6E"/>
    <w:rsid w:val="001936F6"/>
    <w:rsid w:val="001F7468"/>
    <w:rsid w:val="003966A4"/>
    <w:rsid w:val="003B6924"/>
    <w:rsid w:val="005A011D"/>
    <w:rsid w:val="00636301"/>
    <w:rsid w:val="006D6DD8"/>
    <w:rsid w:val="00751A45"/>
    <w:rsid w:val="0089413B"/>
    <w:rsid w:val="00895EB0"/>
    <w:rsid w:val="009439E9"/>
    <w:rsid w:val="00A60FAF"/>
    <w:rsid w:val="00E91292"/>
    <w:rsid w:val="00E95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F902"/>
  <w15:chartTrackingRefBased/>
  <w15:docId w15:val="{814DF27F-2EF6-473B-89A1-F30D647C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7468"/>
    <w:rPr>
      <w:rFonts w:ascii="Calibri" w:eastAsia="SimSun" w:hAnsi="Calibri" w:cs="Times New Roman"/>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7468"/>
    <w:pPr>
      <w:ind w:left="720"/>
      <w:contextualSpacing/>
    </w:pPr>
  </w:style>
  <w:style w:type="paragraph" w:styleId="Nagwek">
    <w:name w:val="header"/>
    <w:basedOn w:val="Normalny"/>
    <w:link w:val="NagwekZnak"/>
    <w:uiPriority w:val="99"/>
    <w:unhideWhenUsed/>
    <w:rsid w:val="001F74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7468"/>
    <w:rPr>
      <w:rFonts w:ascii="Calibri" w:eastAsia="SimSun" w:hAnsi="Calibri" w:cs="Times New Roman"/>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41039">
      <w:bodyDiv w:val="1"/>
      <w:marLeft w:val="0"/>
      <w:marRight w:val="0"/>
      <w:marTop w:val="0"/>
      <w:marBottom w:val="0"/>
      <w:divBdr>
        <w:top w:val="none" w:sz="0" w:space="0" w:color="auto"/>
        <w:left w:val="none" w:sz="0" w:space="0" w:color="auto"/>
        <w:bottom w:val="none" w:sz="0" w:space="0" w:color="auto"/>
        <w:right w:val="none" w:sz="0" w:space="0" w:color="auto"/>
      </w:divBdr>
      <w:divsChild>
        <w:div w:id="770973158">
          <w:marLeft w:val="0"/>
          <w:marRight w:val="0"/>
          <w:marTop w:val="0"/>
          <w:marBottom w:val="0"/>
          <w:divBdr>
            <w:top w:val="single" w:sz="2" w:space="0" w:color="2C2F45"/>
            <w:left w:val="single" w:sz="2" w:space="0" w:color="2C2F45"/>
            <w:bottom w:val="single" w:sz="2" w:space="0" w:color="2C2F45"/>
            <w:right w:val="single" w:sz="2" w:space="0" w:color="2C2F45"/>
          </w:divBdr>
        </w:div>
        <w:div w:id="113184004">
          <w:marLeft w:val="0"/>
          <w:marRight w:val="0"/>
          <w:marTop w:val="0"/>
          <w:marBottom w:val="0"/>
          <w:divBdr>
            <w:top w:val="single" w:sz="2" w:space="0" w:color="2C2F45"/>
            <w:left w:val="single" w:sz="2" w:space="0" w:color="2C2F45"/>
            <w:bottom w:val="single" w:sz="2" w:space="0" w:color="2C2F45"/>
            <w:right w:val="single" w:sz="2" w:space="0" w:color="2C2F45"/>
          </w:divBdr>
        </w:div>
        <w:div w:id="1616518530">
          <w:marLeft w:val="0"/>
          <w:marRight w:val="0"/>
          <w:marTop w:val="0"/>
          <w:marBottom w:val="0"/>
          <w:divBdr>
            <w:top w:val="single" w:sz="2" w:space="0" w:color="2C2F45"/>
            <w:left w:val="single" w:sz="2" w:space="0" w:color="2C2F45"/>
            <w:bottom w:val="single" w:sz="2" w:space="0" w:color="2C2F45"/>
            <w:right w:val="single" w:sz="2" w:space="0" w:color="2C2F45"/>
          </w:divBdr>
        </w:div>
        <w:div w:id="502286920">
          <w:marLeft w:val="0"/>
          <w:marRight w:val="0"/>
          <w:marTop w:val="0"/>
          <w:marBottom w:val="0"/>
          <w:divBdr>
            <w:top w:val="single" w:sz="2" w:space="0" w:color="2C2F45"/>
            <w:left w:val="single" w:sz="2" w:space="0" w:color="2C2F45"/>
            <w:bottom w:val="single" w:sz="2" w:space="0" w:color="2C2F45"/>
            <w:right w:val="single" w:sz="2" w:space="0" w:color="2C2F45"/>
          </w:divBdr>
        </w:div>
        <w:div w:id="1122384008">
          <w:marLeft w:val="0"/>
          <w:marRight w:val="0"/>
          <w:marTop w:val="0"/>
          <w:marBottom w:val="0"/>
          <w:divBdr>
            <w:top w:val="single" w:sz="2" w:space="0" w:color="2C2F45"/>
            <w:left w:val="single" w:sz="2" w:space="0" w:color="2C2F45"/>
            <w:bottom w:val="single" w:sz="2" w:space="0" w:color="2C2F45"/>
            <w:right w:val="single" w:sz="2" w:space="0" w:color="2C2F45"/>
          </w:divBdr>
        </w:div>
        <w:div w:id="1117332275">
          <w:marLeft w:val="0"/>
          <w:marRight w:val="0"/>
          <w:marTop w:val="0"/>
          <w:marBottom w:val="0"/>
          <w:divBdr>
            <w:top w:val="single" w:sz="2" w:space="0" w:color="2C2F45"/>
            <w:left w:val="single" w:sz="2" w:space="0" w:color="2C2F45"/>
            <w:bottom w:val="single" w:sz="2" w:space="0" w:color="2C2F45"/>
            <w:right w:val="single" w:sz="2" w:space="0" w:color="2C2F45"/>
          </w:divBdr>
        </w:div>
        <w:div w:id="17779554">
          <w:marLeft w:val="0"/>
          <w:marRight w:val="0"/>
          <w:marTop w:val="0"/>
          <w:marBottom w:val="0"/>
          <w:divBdr>
            <w:top w:val="single" w:sz="2" w:space="0" w:color="2C2F45"/>
            <w:left w:val="single" w:sz="2" w:space="0" w:color="2C2F45"/>
            <w:bottom w:val="single" w:sz="2" w:space="0" w:color="2C2F45"/>
            <w:right w:val="single" w:sz="2" w:space="0" w:color="2C2F45"/>
          </w:divBdr>
        </w:div>
        <w:div w:id="482284543">
          <w:marLeft w:val="0"/>
          <w:marRight w:val="0"/>
          <w:marTop w:val="0"/>
          <w:marBottom w:val="0"/>
          <w:divBdr>
            <w:top w:val="single" w:sz="2" w:space="0" w:color="2C2F45"/>
            <w:left w:val="single" w:sz="2" w:space="0" w:color="2C2F45"/>
            <w:bottom w:val="single" w:sz="2" w:space="0" w:color="2C2F45"/>
            <w:right w:val="single" w:sz="2" w:space="0" w:color="2C2F45"/>
          </w:divBdr>
        </w:div>
        <w:div w:id="512037169">
          <w:marLeft w:val="0"/>
          <w:marRight w:val="0"/>
          <w:marTop w:val="0"/>
          <w:marBottom w:val="0"/>
          <w:divBdr>
            <w:top w:val="single" w:sz="2" w:space="0" w:color="2C2F45"/>
            <w:left w:val="single" w:sz="2" w:space="0" w:color="2C2F45"/>
            <w:bottom w:val="single" w:sz="2" w:space="0" w:color="2C2F45"/>
            <w:right w:val="single" w:sz="2" w:space="0" w:color="2C2F45"/>
          </w:divBdr>
        </w:div>
        <w:div w:id="556084857">
          <w:marLeft w:val="0"/>
          <w:marRight w:val="0"/>
          <w:marTop w:val="0"/>
          <w:marBottom w:val="0"/>
          <w:divBdr>
            <w:top w:val="single" w:sz="2" w:space="0" w:color="2C2F45"/>
            <w:left w:val="single" w:sz="2" w:space="0" w:color="2C2F45"/>
            <w:bottom w:val="single" w:sz="2" w:space="0" w:color="2C2F45"/>
            <w:right w:val="single" w:sz="2" w:space="0" w:color="2C2F45"/>
          </w:divBdr>
        </w:div>
        <w:div w:id="1970895753">
          <w:marLeft w:val="0"/>
          <w:marRight w:val="0"/>
          <w:marTop w:val="0"/>
          <w:marBottom w:val="0"/>
          <w:divBdr>
            <w:top w:val="single" w:sz="2" w:space="0" w:color="2C2F45"/>
            <w:left w:val="single" w:sz="2" w:space="0" w:color="2C2F45"/>
            <w:bottom w:val="single" w:sz="2" w:space="0" w:color="2C2F45"/>
            <w:right w:val="single" w:sz="2" w:space="0" w:color="2C2F45"/>
          </w:divBdr>
        </w:div>
        <w:div w:id="1849909424">
          <w:marLeft w:val="0"/>
          <w:marRight w:val="0"/>
          <w:marTop w:val="0"/>
          <w:marBottom w:val="0"/>
          <w:divBdr>
            <w:top w:val="single" w:sz="2" w:space="0" w:color="2C2F45"/>
            <w:left w:val="single" w:sz="2" w:space="0" w:color="2C2F45"/>
            <w:bottom w:val="single" w:sz="2" w:space="0" w:color="2C2F45"/>
            <w:right w:val="single" w:sz="2" w:space="0" w:color="2C2F45"/>
          </w:divBdr>
        </w:div>
        <w:div w:id="1541629138">
          <w:marLeft w:val="0"/>
          <w:marRight w:val="0"/>
          <w:marTop w:val="0"/>
          <w:marBottom w:val="0"/>
          <w:divBdr>
            <w:top w:val="single" w:sz="2" w:space="0" w:color="2C2F45"/>
            <w:left w:val="single" w:sz="2" w:space="0" w:color="2C2F45"/>
            <w:bottom w:val="single" w:sz="2" w:space="0" w:color="2C2F45"/>
            <w:right w:val="single" w:sz="2" w:space="0" w:color="2C2F45"/>
          </w:divBdr>
        </w:div>
        <w:div w:id="30736524">
          <w:marLeft w:val="0"/>
          <w:marRight w:val="0"/>
          <w:marTop w:val="0"/>
          <w:marBottom w:val="0"/>
          <w:divBdr>
            <w:top w:val="single" w:sz="2" w:space="0" w:color="2C2F45"/>
            <w:left w:val="single" w:sz="2" w:space="0" w:color="2C2F45"/>
            <w:bottom w:val="single" w:sz="2" w:space="0" w:color="2C2F45"/>
            <w:right w:val="single" w:sz="2" w:space="0" w:color="2C2F45"/>
          </w:divBdr>
        </w:div>
        <w:div w:id="272782763">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1688</Words>
  <Characters>10129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11</cp:revision>
  <dcterms:created xsi:type="dcterms:W3CDTF">2026-02-19T08:52:00Z</dcterms:created>
  <dcterms:modified xsi:type="dcterms:W3CDTF">2026-02-20T09:52:00Z</dcterms:modified>
</cp:coreProperties>
</file>